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AC2B9">
      <w:pPr>
        <w:ind w:firstLine="4200" w:firstLineChars="500"/>
        <w:jc w:val="left"/>
        <w:rPr>
          <w:rFonts w:ascii="黑体" w:hAnsi="Calibri" w:eastAsia="黑体" w:cs="Times New Roman"/>
          <w:sz w:val="28"/>
          <w:szCs w:val="28"/>
        </w:rPr>
      </w:pPr>
      <w:r>
        <w:rPr>
          <w:rFonts w:eastAsia="宋体" w:cs="Times New Roman"/>
          <w:sz w:val="84"/>
          <w:szCs w:val="84"/>
        </w:rPr>
        <w:drawing>
          <wp:inline distT="0" distB="0" distL="114300" distR="114300">
            <wp:extent cx="1819275" cy="76200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Calibri" w:eastAsia="黑体" w:cs="Times New Roman"/>
          <w:sz w:val="84"/>
          <w:szCs w:val="84"/>
        </w:rPr>
        <w:t>(皖)</w:t>
      </w:r>
    </w:p>
    <w:p w14:paraId="78E2D864">
      <w:pPr>
        <w:jc w:val="right"/>
        <w:rPr>
          <w:rFonts w:ascii="文鼎齿轮体" w:hAnsi="Calibri" w:eastAsia="楷体_GB2312" w:cs="Times New Roman"/>
          <w:sz w:val="28"/>
          <w:szCs w:val="28"/>
        </w:rPr>
      </w:pPr>
    </w:p>
    <w:p w14:paraId="6265A4C6">
      <w:pPr>
        <w:jc w:val="center"/>
        <w:rPr>
          <w:rFonts w:ascii="方正小标宋_GBK" w:hAnsi="Calibri" w:eastAsia="方正小标宋_GBK" w:cs="Times New Roman"/>
          <w:w w:val="120"/>
          <w:sz w:val="52"/>
          <w:szCs w:val="52"/>
        </w:rPr>
      </w:pPr>
      <w:r>
        <w:rPr>
          <w:rFonts w:hint="eastAsia" w:ascii="方正小标宋_GBK" w:hAnsi="Calibri" w:eastAsia="方正小标宋_GBK" w:cs="Times New Roman"/>
          <w:w w:val="120"/>
          <w:sz w:val="52"/>
          <w:szCs w:val="52"/>
        </w:rPr>
        <w:t>安徽省地方计量技术规范</w:t>
      </w:r>
    </w:p>
    <w:p w14:paraId="0647631C">
      <w:pPr>
        <w:spacing w:line="300" w:lineRule="exact"/>
        <w:jc w:val="center"/>
        <w:rPr>
          <w:rFonts w:ascii="方正小标宋_GBK" w:hAnsi="Calibri" w:eastAsia="方正小标宋_GBK" w:cs="Times New Roman"/>
          <w:sz w:val="24"/>
          <w:szCs w:val="22"/>
        </w:rPr>
      </w:pPr>
    </w:p>
    <w:p w14:paraId="516C77D5">
      <w:pPr>
        <w:tabs>
          <w:tab w:val="left" w:pos="8190"/>
        </w:tabs>
        <w:spacing w:line="360" w:lineRule="auto"/>
        <w:ind w:right="880" w:firstLine="2327"/>
        <w:jc w:val="right"/>
        <w:rPr>
          <w:rFonts w:ascii="黑体" w:hAnsi="Calibri" w:eastAsia="黑体" w:cs="Times New Roman"/>
          <w:sz w:val="28"/>
          <w:szCs w:val="22"/>
        </w:rPr>
      </w:pPr>
      <w:r>
        <w:rPr>
          <w:rFonts w:hint="eastAsia" w:ascii="黑体" w:hAnsi="Calibri" w:eastAsia="黑体" w:cs="Times New Roman"/>
          <w:sz w:val="28"/>
          <w:szCs w:val="22"/>
        </w:rPr>
        <w:t xml:space="preserve">               JJF（皖）XXXX—XXXX</w:t>
      </w:r>
    </w:p>
    <w:p w14:paraId="2F81A6CD">
      <w:pPr>
        <w:tabs>
          <w:tab w:val="left" w:pos="8190"/>
        </w:tabs>
        <w:spacing w:line="360" w:lineRule="auto"/>
        <w:ind w:right="880" w:firstLine="2327"/>
        <w:jc w:val="right"/>
        <w:rPr>
          <w:rFonts w:ascii="黑体" w:hAnsi="Calibri" w:eastAsia="黑体" w:cs="Times New Roman"/>
          <w:sz w:val="28"/>
          <w:szCs w:val="22"/>
        </w:rPr>
      </w:pPr>
      <w:r>
        <w:rPr>
          <w:rFonts w:ascii="Calibri" w:hAnsi="Calibri" w:eastAsia="宋体" w:cs="Times New Roman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2818765</wp:posOffset>
                </wp:positionV>
                <wp:extent cx="5939790" cy="0"/>
                <wp:effectExtent l="0" t="9525" r="3810" b="9525"/>
                <wp:wrapNone/>
                <wp:docPr id="7" name="Lin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7" o:spid="_x0000_s1026" o:spt="20" style="position:absolute;left:0pt;margin-left:70.9pt;margin-top:221.95pt;height:0pt;width:467.7pt;mso-position-horizontal-relative:page;mso-position-vertical-relative:page;z-index:251661312;mso-width-relative:page;mso-height-relative:page;" filled="f" stroked="t" coordsize="21600,21600" o:gfxdata="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ms+pnXAAAADAEAAA8AAAAAAAAAAQAgAAAAIgAA&#10;AGRycy9kb3ducmV2LnhtbFBLAQIUABQAAAAIAIdO4kB80BGI0AEAALADAAAOAAAAAAAAAAEAIAAA&#10;ACYBAABkcnMvZTJvRG9jLnhtbFBLBQYAAAAABgAGAFkBAABo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34589DBE">
      <w:pPr>
        <w:spacing w:line="360" w:lineRule="auto"/>
        <w:jc w:val="left"/>
        <w:rPr>
          <w:rFonts w:ascii="Calibri" w:hAnsi="Calibri" w:eastAsia="楷体_GB2312" w:cs="Times New Roman"/>
          <w:sz w:val="30"/>
          <w:szCs w:val="22"/>
          <w:u w:val="single"/>
        </w:rPr>
      </w:pPr>
    </w:p>
    <w:p w14:paraId="395C3919">
      <w:pPr>
        <w:spacing w:line="360" w:lineRule="auto"/>
        <w:jc w:val="left"/>
        <w:rPr>
          <w:rFonts w:ascii="Calibri" w:hAnsi="Calibri" w:eastAsia="楷体_GB2312" w:cs="Times New Roman"/>
          <w:sz w:val="30"/>
          <w:szCs w:val="22"/>
        </w:rPr>
      </w:pPr>
    </w:p>
    <w:p w14:paraId="5FF4BB58">
      <w:pPr>
        <w:spacing w:line="360" w:lineRule="auto"/>
        <w:jc w:val="left"/>
        <w:rPr>
          <w:rFonts w:ascii="Calibri" w:hAnsi="Calibri" w:eastAsia="楷体_GB2312" w:cs="Times New Roman"/>
          <w:sz w:val="30"/>
          <w:szCs w:val="22"/>
        </w:rPr>
      </w:pPr>
    </w:p>
    <w:p w14:paraId="42E300FD">
      <w:pPr>
        <w:spacing w:line="360" w:lineRule="auto"/>
        <w:jc w:val="left"/>
        <w:rPr>
          <w:rFonts w:ascii="Calibri" w:hAnsi="Calibri" w:eastAsia="楷体_GB2312" w:cs="Times New Roman"/>
          <w:sz w:val="30"/>
          <w:szCs w:val="22"/>
        </w:rPr>
      </w:pPr>
    </w:p>
    <w:p w14:paraId="6B2BA92C">
      <w:pPr>
        <w:spacing w:line="360" w:lineRule="auto"/>
        <w:jc w:val="center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 w:val="52"/>
          <w:szCs w:val="22"/>
        </w:rPr>
        <w:t>大容量</w:t>
      </w:r>
      <w:r>
        <w:rPr>
          <w:rFonts w:hint="eastAsia" w:ascii="黑体" w:hAnsi="黑体" w:eastAsia="黑体" w:cs="Times New Roman"/>
          <w:sz w:val="52"/>
          <w:szCs w:val="22"/>
          <w:lang w:val="en-US" w:eastAsia="zh-CN"/>
        </w:rPr>
        <w:t>纤维</w:t>
      </w:r>
      <w:r>
        <w:rPr>
          <w:rFonts w:hint="eastAsia" w:ascii="黑体" w:hAnsi="黑体" w:eastAsia="黑体" w:cs="Times New Roman"/>
          <w:sz w:val="52"/>
          <w:szCs w:val="22"/>
        </w:rPr>
        <w:t>测试仪校准规范</w:t>
      </w:r>
    </w:p>
    <w:p w14:paraId="04431B2B">
      <w:pPr>
        <w:spacing w:before="120" w:beforeLines="50" w:line="360" w:lineRule="auto"/>
        <w:jc w:val="center"/>
        <w:rPr>
          <w:rFonts w:hint="eastAsia" w:ascii="黑体" w:eastAsia="黑体" w:cs="Times New Roman"/>
          <w:sz w:val="28"/>
          <w:szCs w:val="28"/>
          <w:highlight w:val="yellow"/>
          <w:lang w:val="en-US" w:eastAsia="zh-CN"/>
        </w:rPr>
      </w:pPr>
      <w:r>
        <w:rPr>
          <w:rFonts w:ascii="黑体" w:eastAsia="黑体" w:cs="Times New Roman"/>
          <w:sz w:val="28"/>
          <w:szCs w:val="28"/>
          <w:highlight w:val="none"/>
        </w:rPr>
        <w:t>Calibration specification for</w:t>
      </w:r>
      <w:r>
        <w:rPr>
          <w:rFonts w:hint="eastAsia" w:ascii="黑体" w:eastAsia="黑体" w:cs="Times New Roman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黑体" w:eastAsia="黑体" w:cs="Times New Roman"/>
          <w:sz w:val="28"/>
          <w:szCs w:val="28"/>
          <w:highlight w:val="none"/>
        </w:rPr>
        <w:t>high volume cotton</w:t>
      </w:r>
      <w:r>
        <w:rPr>
          <w:rFonts w:hint="eastAsia" w:ascii="黑体" w:eastAsia="黑体" w:cs="Times New Roman"/>
          <w:sz w:val="28"/>
          <w:szCs w:val="28"/>
          <w:highlight w:val="none"/>
          <w:lang w:val="en-US" w:eastAsia="zh-CN"/>
        </w:rPr>
        <w:t xml:space="preserve"> fiber test </w:t>
      </w:r>
      <w:r>
        <w:rPr>
          <w:rFonts w:hint="eastAsia" w:ascii="黑体" w:eastAsia="黑体" w:cs="Times New Roman"/>
          <w:sz w:val="28"/>
          <w:szCs w:val="28"/>
          <w:highlight w:val="none"/>
        </w:rPr>
        <w:t>instrument</w:t>
      </w:r>
      <w:r>
        <w:rPr>
          <w:rFonts w:hint="eastAsia" w:ascii="黑体" w:eastAsia="黑体" w:cs="Times New Roman"/>
          <w:sz w:val="28"/>
          <w:szCs w:val="28"/>
          <w:highlight w:val="none"/>
          <w:lang w:val="en-US" w:eastAsia="zh-CN"/>
        </w:rPr>
        <w:t>s</w:t>
      </w:r>
    </w:p>
    <w:p w14:paraId="32887205">
      <w:pPr>
        <w:pStyle w:val="19"/>
        <w:outlineLvl w:val="9"/>
      </w:pPr>
    </w:p>
    <w:p w14:paraId="25238B4A">
      <w:pPr>
        <w:spacing w:line="360" w:lineRule="auto"/>
        <w:jc w:val="center"/>
        <w:rPr>
          <w:rFonts w:ascii="Calibri" w:hAnsi="Calibri" w:eastAsia="楷体_GB2312" w:cs="Times New Roman"/>
          <w:sz w:val="48"/>
          <w:szCs w:val="48"/>
        </w:rPr>
      </w:pPr>
      <w:r>
        <w:rPr>
          <w:rFonts w:hint="eastAsia" w:ascii="Calibri" w:hAnsi="Calibri" w:eastAsia="楷体_GB2312" w:cs="Times New Roman"/>
          <w:sz w:val="48"/>
          <w:szCs w:val="48"/>
        </w:rPr>
        <w:t>（</w:t>
      </w:r>
      <w:r>
        <w:rPr>
          <w:rFonts w:hint="eastAsia" w:ascii="Calibri" w:hAnsi="Calibri" w:eastAsia="楷体_GB2312" w:cs="Times New Roman"/>
          <w:sz w:val="48"/>
          <w:szCs w:val="48"/>
          <w:lang w:val="en-US" w:eastAsia="zh-CN"/>
        </w:rPr>
        <w:t>报批</w:t>
      </w:r>
      <w:r>
        <w:rPr>
          <w:rFonts w:hint="eastAsia" w:ascii="Calibri" w:hAnsi="Calibri" w:eastAsia="楷体_GB2312" w:cs="Times New Roman"/>
          <w:sz w:val="48"/>
          <w:szCs w:val="48"/>
        </w:rPr>
        <w:t>稿）</w:t>
      </w:r>
    </w:p>
    <w:p w14:paraId="004C43DF">
      <w:pPr>
        <w:spacing w:line="360" w:lineRule="auto"/>
        <w:jc w:val="center"/>
        <w:rPr>
          <w:rFonts w:ascii="Calibri" w:hAnsi="Calibri" w:eastAsia="楷体_GB2312" w:cs="Times New Roman"/>
          <w:szCs w:val="22"/>
        </w:rPr>
      </w:pPr>
    </w:p>
    <w:p w14:paraId="096AC63B">
      <w:pPr>
        <w:spacing w:line="360" w:lineRule="auto"/>
        <w:jc w:val="center"/>
        <w:rPr>
          <w:rFonts w:ascii="Calibri" w:hAnsi="Calibri" w:eastAsia="楷体_GB2312" w:cs="Times New Roman"/>
          <w:sz w:val="11"/>
          <w:szCs w:val="22"/>
        </w:rPr>
      </w:pPr>
    </w:p>
    <w:p w14:paraId="57B645A5">
      <w:pPr>
        <w:spacing w:line="360" w:lineRule="auto"/>
        <w:jc w:val="center"/>
        <w:rPr>
          <w:rFonts w:ascii="Calibri" w:hAnsi="Calibri" w:eastAsia="楷体_GB2312" w:cs="Times New Roman"/>
          <w:sz w:val="11"/>
          <w:szCs w:val="22"/>
        </w:rPr>
      </w:pPr>
    </w:p>
    <w:p w14:paraId="494DF64F">
      <w:pPr>
        <w:spacing w:line="360" w:lineRule="auto"/>
        <w:jc w:val="center"/>
        <w:rPr>
          <w:rFonts w:eastAsia="楷体_GB2312"/>
          <w:sz w:val="11"/>
        </w:rPr>
      </w:pPr>
    </w:p>
    <w:p w14:paraId="18091943">
      <w:pPr>
        <w:spacing w:line="360" w:lineRule="auto"/>
        <w:jc w:val="center"/>
        <w:rPr>
          <w:rFonts w:eastAsia="楷体_GB2312"/>
          <w:sz w:val="11"/>
        </w:rPr>
      </w:pPr>
    </w:p>
    <w:p w14:paraId="71ECF0CE">
      <w:pPr>
        <w:spacing w:line="360" w:lineRule="auto"/>
        <w:jc w:val="center"/>
        <w:rPr>
          <w:rFonts w:eastAsia="楷体_GB2312"/>
          <w:sz w:val="11"/>
        </w:rPr>
      </w:pPr>
    </w:p>
    <w:p w14:paraId="5BEFA455">
      <w:pPr>
        <w:spacing w:line="360" w:lineRule="auto"/>
        <w:jc w:val="center"/>
        <w:rPr>
          <w:rFonts w:eastAsia="楷体_GB2312"/>
          <w:sz w:val="11"/>
        </w:rPr>
      </w:pPr>
    </w:p>
    <w:p w14:paraId="026A4D12">
      <w:pPr>
        <w:spacing w:line="360" w:lineRule="auto"/>
        <w:jc w:val="center"/>
        <w:rPr>
          <w:rFonts w:eastAsia="楷体_GB2312"/>
          <w:sz w:val="11"/>
        </w:rPr>
      </w:pPr>
    </w:p>
    <w:p w14:paraId="06914B0D">
      <w:pPr>
        <w:spacing w:line="360" w:lineRule="auto"/>
        <w:jc w:val="center"/>
        <w:rPr>
          <w:rFonts w:eastAsia="楷体_GB2312"/>
          <w:sz w:val="11"/>
        </w:rPr>
      </w:pPr>
    </w:p>
    <w:p w14:paraId="72B972BA">
      <w:pPr>
        <w:spacing w:line="360" w:lineRule="auto"/>
        <w:jc w:val="center"/>
        <w:rPr>
          <w:rFonts w:eastAsia="楷体_GB2312"/>
          <w:sz w:val="11"/>
        </w:rPr>
      </w:pPr>
    </w:p>
    <w:p w14:paraId="173487C8">
      <w:pPr>
        <w:spacing w:line="360" w:lineRule="auto"/>
        <w:jc w:val="center"/>
        <w:rPr>
          <w:rFonts w:eastAsia="楷体_GB2312"/>
          <w:sz w:val="11"/>
        </w:rPr>
      </w:pPr>
    </w:p>
    <w:p w14:paraId="5F2CE801">
      <w:pPr>
        <w:spacing w:line="360" w:lineRule="auto"/>
        <w:jc w:val="center"/>
        <w:rPr>
          <w:rFonts w:eastAsia="楷体_GB2312"/>
          <w:sz w:val="11"/>
        </w:rPr>
      </w:pPr>
    </w:p>
    <w:p w14:paraId="311EC6B9">
      <w:pPr>
        <w:spacing w:line="360" w:lineRule="auto"/>
        <w:jc w:val="center"/>
        <w:rPr>
          <w:rFonts w:eastAsia="楷体_GB2312"/>
          <w:sz w:val="11"/>
        </w:rPr>
      </w:pPr>
    </w:p>
    <w:p w14:paraId="6DBF5022">
      <w:pPr>
        <w:spacing w:line="360" w:lineRule="auto"/>
        <w:jc w:val="center"/>
        <w:rPr>
          <w:rFonts w:ascii="Calibri" w:hAnsi="Calibri" w:eastAsia="楷体_GB2312" w:cs="Times New Roman"/>
          <w:sz w:val="11"/>
          <w:szCs w:val="22"/>
        </w:rPr>
      </w:pPr>
    </w:p>
    <w:p w14:paraId="5B876F4F">
      <w:pPr>
        <w:spacing w:line="360" w:lineRule="auto"/>
        <w:jc w:val="center"/>
        <w:rPr>
          <w:rFonts w:ascii="Calibri" w:hAnsi="Calibri" w:eastAsia="楷体_GB2312" w:cs="Times New Roman"/>
          <w:sz w:val="32"/>
          <w:szCs w:val="22"/>
        </w:rPr>
      </w:pPr>
      <w:r>
        <w:rPr>
          <w:rFonts w:ascii="Calibri" w:hAnsi="Calibri" w:eastAsia="宋体" w:cs="Times New Roman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852805</wp:posOffset>
                </wp:positionH>
                <wp:positionV relativeFrom="page">
                  <wp:posOffset>9153525</wp:posOffset>
                </wp:positionV>
                <wp:extent cx="5939790" cy="0"/>
                <wp:effectExtent l="0" t="9525" r="3810" b="9525"/>
                <wp:wrapNone/>
                <wp:docPr id="6" name="Lin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8" o:spid="_x0000_s1026" o:spt="20" style="position:absolute;left:0pt;margin-left:67.15pt;margin-top:720.75pt;height:0pt;width:467.7pt;mso-position-horizontal-relative:page;mso-position-vertical-relative:page;z-index:251662336;mso-width-relative:page;mso-height-relative:page;" filled="f" stroked="t" coordsize="21600,21600" o:gfxdata="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s6aGK2AAAAA4BAAAPAAAAAAAAAAEAIAAAACIA&#10;AABkcnMvZG93bnJldi54bWxQSwECFAAUAAAACACHTuJA2Q34o9ABAACwAwAADgAAAAAAAAABACAA&#10;AAAnAQAAZHJzL2Uyb0RvYy54bWxQSwUGAAAAAAYABgBZAQAAaQ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Calibri" w:eastAsia="黑体" w:cs="Times New Roman"/>
          <w:sz w:val="28"/>
          <w:szCs w:val="22"/>
        </w:rPr>
        <w:t>XXXX—XX—XX发布                      XXXX—XX—XX实施</w:t>
      </w:r>
    </w:p>
    <w:p w14:paraId="6A909A56">
      <w:pPr>
        <w:spacing w:line="360" w:lineRule="auto"/>
        <w:jc w:val="center"/>
        <w:rPr>
          <w:rFonts w:ascii="Calibri" w:hAnsi="Calibri" w:eastAsia="楷体_GB2312" w:cs="Times New Roman"/>
          <w:sz w:val="11"/>
          <w:szCs w:val="22"/>
        </w:rPr>
      </w:pPr>
    </w:p>
    <w:p w14:paraId="4D130CCF">
      <w:pPr>
        <w:spacing w:line="360" w:lineRule="auto"/>
        <w:ind w:firstLine="1056" w:firstLineChars="200"/>
        <w:jc w:val="center"/>
        <w:rPr>
          <w:rFonts w:eastAsia="宋体" w:cs="Times New Roman"/>
          <w:sz w:val="28"/>
          <w:szCs w:val="28"/>
        </w:rPr>
        <w:sectPr>
          <w:headerReference r:id="rId4" w:type="first"/>
          <w:headerReference r:id="rId3" w:type="even"/>
          <w:footerReference r:id="rId5" w:type="even"/>
          <w:pgSz w:w="11906" w:h="16838"/>
          <w:pgMar w:top="851" w:right="1418" w:bottom="1077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linePitch="312" w:charSpace="0"/>
        </w:sectPr>
      </w:pPr>
      <w:r>
        <w:rPr>
          <w:rFonts w:hint="eastAsia" w:ascii="宋体" w:hAnsi="宋体" w:eastAsia="宋体" w:cs="Times New Roman"/>
          <w:w w:val="120"/>
          <w:sz w:val="44"/>
        </w:rPr>
        <w:t>安徽省市场监督管理局</w:t>
      </w:r>
      <w:r>
        <w:rPr>
          <w:rFonts w:hint="eastAsia" w:ascii="方正小标宋_GBK" w:hAnsi="Calibri" w:eastAsia="方正小标宋_GBK" w:cs="Times New Roman"/>
          <w:w w:val="120"/>
          <w:sz w:val="44"/>
        </w:rPr>
        <w:t xml:space="preserve"> </w:t>
      </w:r>
      <w:r>
        <w:rPr>
          <w:rFonts w:hint="eastAsia" w:ascii="黑体" w:hAnsi="黑体" w:eastAsia="黑体" w:cs="Times New Roman"/>
          <w:w w:val="120"/>
          <w:sz w:val="28"/>
          <w:szCs w:val="28"/>
        </w:rPr>
        <w:t>发 布</w:t>
      </w:r>
    </w:p>
    <w:p w14:paraId="43C8D906">
      <w:pPr>
        <w:jc w:val="center"/>
        <w:rPr>
          <w:rFonts w:ascii="黑体" w:hAnsi="华文细黑" w:eastAsia="黑体"/>
          <w:sz w:val="48"/>
          <w:szCs w:val="4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241935</wp:posOffset>
                </wp:positionV>
                <wp:extent cx="4086225" cy="2034540"/>
                <wp:effectExtent l="0" t="0" r="0" b="0"/>
                <wp:wrapNone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6225" cy="2034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1E3662E">
                            <w:pPr>
                              <w:jc w:val="center"/>
                              <w:rPr>
                                <w:rFonts w:ascii="黑体" w:hAnsi="华文细黑" w:eastAsia="黑体"/>
                                <w:sz w:val="44"/>
                                <w:szCs w:val="44"/>
                              </w:rPr>
                            </w:pPr>
                          </w:p>
                          <w:p w14:paraId="6FF15834">
                            <w:pPr>
                              <w:jc w:val="center"/>
                              <w:rPr>
                                <w:rFonts w:ascii="黑体" w:hAnsi="华文细黑" w:eastAsia="黑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黑体" w:hAnsi="华文细黑" w:eastAsia="黑体"/>
                                <w:sz w:val="44"/>
                                <w:szCs w:val="44"/>
                              </w:rPr>
                              <w:t>大容量纤维测试仪校准规范</w:t>
                            </w:r>
                          </w:p>
                          <w:p w14:paraId="44AC7DCB">
                            <w:pPr>
                              <w:jc w:val="center"/>
                              <w:rPr>
                                <w:rFonts w:ascii="黑体" w:eastAsia="黑体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cs="Times New Roman"/>
                                <w:sz w:val="28"/>
                                <w:szCs w:val="28"/>
                              </w:rPr>
                              <w:t xml:space="preserve">Calibration specification for </w:t>
                            </w:r>
                            <w:r>
                              <w:rPr>
                                <w:rFonts w:hint="eastAsia" w:ascii="黑体" w:eastAsia="黑体" w:cs="Times New Roman"/>
                                <w:sz w:val="28"/>
                                <w:szCs w:val="28"/>
                              </w:rPr>
                              <w:t>high</w:t>
                            </w:r>
                          </w:p>
                          <w:p w14:paraId="425372EF">
                            <w:pPr>
                              <w:jc w:val="center"/>
                              <w:rPr>
                                <w:rFonts w:hint="eastAsia" w:ascii="黑体" w:hAnsi="Calibri" w:eastAsia="黑体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eastAsia="黑体" w:cs="Times New Roman"/>
                                <w:sz w:val="28"/>
                                <w:szCs w:val="28"/>
                              </w:rPr>
                              <w:t>volume</w:t>
                            </w:r>
                            <w:r>
                              <w:rPr>
                                <w:rFonts w:ascii="黑体" w:eastAsia="黑体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eastAsia="黑体" w:cs="Times New Roman"/>
                                <w:sz w:val="28"/>
                                <w:szCs w:val="28"/>
                                <w:highlight w:val="none"/>
                              </w:rPr>
                              <w:t>cotton</w:t>
                            </w:r>
                            <w:r>
                              <w:rPr>
                                <w:rFonts w:hint="eastAsia" w:ascii="黑体" w:eastAsia="黑体" w:cs="Times New Roman"/>
                                <w:sz w:val="28"/>
                                <w:szCs w:val="28"/>
                                <w:highlight w:val="none"/>
                                <w:lang w:val="en-US" w:eastAsia="zh-CN"/>
                              </w:rPr>
                              <w:t xml:space="preserve"> fiber test </w:t>
                            </w:r>
                            <w:r>
                              <w:rPr>
                                <w:rFonts w:hint="eastAsia" w:ascii="黑体" w:eastAsia="黑体" w:cs="Times New Roman"/>
                                <w:sz w:val="28"/>
                                <w:szCs w:val="28"/>
                              </w:rPr>
                              <w:t>instrument</w:t>
                            </w:r>
                            <w:r>
                              <w:rPr>
                                <w:rFonts w:hint="eastAsia" w:ascii="黑体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7.2pt;margin-top:19.05pt;height:160.2pt;width:321.75pt;z-index:251660288;mso-width-relative:page;mso-height-relative:page;" filled="f" stroked="f" coordsize="21600,21600" o:gfxdata="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3908Z1wAAAAoBAAAPAAAAAAAAAAEAIAAA&#10;ACIAAABkcnMvZG93bnJldi54bWxQSwECFAAUAAAACACHTuJA4C2OOA0CAAAjBAAADgAAAAAAAAAB&#10;ACAAAAAmAQAAZHJzL2Uyb0RvYy54bWxQSwUGAAAAAAYABgBZAQAAp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1E3662E">
                      <w:pPr>
                        <w:jc w:val="center"/>
                        <w:rPr>
                          <w:rFonts w:ascii="黑体" w:hAnsi="华文细黑" w:eastAsia="黑体"/>
                          <w:sz w:val="44"/>
                          <w:szCs w:val="44"/>
                        </w:rPr>
                      </w:pPr>
                    </w:p>
                    <w:p w14:paraId="6FF15834">
                      <w:pPr>
                        <w:jc w:val="center"/>
                        <w:rPr>
                          <w:rFonts w:ascii="黑体" w:hAnsi="华文细黑" w:eastAsia="黑体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黑体" w:hAnsi="华文细黑" w:eastAsia="黑体"/>
                          <w:sz w:val="44"/>
                          <w:szCs w:val="44"/>
                        </w:rPr>
                        <w:t>大容量纤维测试仪校准规范</w:t>
                      </w:r>
                    </w:p>
                    <w:p w14:paraId="44AC7DCB">
                      <w:pPr>
                        <w:jc w:val="center"/>
                        <w:rPr>
                          <w:rFonts w:ascii="黑体" w:eastAsia="黑体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cs="Times New Roman"/>
                          <w:sz w:val="28"/>
                          <w:szCs w:val="28"/>
                        </w:rPr>
                        <w:t xml:space="preserve">Calibration specification for </w:t>
                      </w:r>
                      <w:r>
                        <w:rPr>
                          <w:rFonts w:hint="eastAsia" w:ascii="黑体" w:eastAsia="黑体" w:cs="Times New Roman"/>
                          <w:sz w:val="28"/>
                          <w:szCs w:val="28"/>
                        </w:rPr>
                        <w:t>high</w:t>
                      </w:r>
                    </w:p>
                    <w:p w14:paraId="425372EF">
                      <w:pPr>
                        <w:jc w:val="center"/>
                        <w:rPr>
                          <w:rFonts w:hint="eastAsia" w:ascii="黑体" w:hAnsi="Calibri" w:eastAsia="黑体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eastAsia="黑体" w:cs="Times New Roman"/>
                          <w:sz w:val="28"/>
                          <w:szCs w:val="28"/>
                        </w:rPr>
                        <w:t>volume</w:t>
                      </w:r>
                      <w:r>
                        <w:rPr>
                          <w:rFonts w:ascii="黑体" w:eastAsia="黑体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 w:ascii="黑体" w:eastAsia="黑体" w:cs="Times New Roman"/>
                          <w:sz w:val="28"/>
                          <w:szCs w:val="28"/>
                          <w:highlight w:val="none"/>
                        </w:rPr>
                        <w:t>cotton</w:t>
                      </w:r>
                      <w:r>
                        <w:rPr>
                          <w:rFonts w:hint="eastAsia" w:ascii="黑体" w:eastAsia="黑体" w:cs="Times New Roman"/>
                          <w:sz w:val="28"/>
                          <w:szCs w:val="28"/>
                          <w:highlight w:val="none"/>
                          <w:lang w:val="en-US" w:eastAsia="zh-CN"/>
                        </w:rPr>
                        <w:t xml:space="preserve"> fiber test </w:t>
                      </w:r>
                      <w:r>
                        <w:rPr>
                          <w:rFonts w:hint="eastAsia" w:ascii="黑体" w:eastAsia="黑体" w:cs="Times New Roman"/>
                          <w:sz w:val="28"/>
                          <w:szCs w:val="28"/>
                        </w:rPr>
                        <w:t>instrument</w:t>
                      </w:r>
                      <w:r>
                        <w:rPr>
                          <w:rFonts w:hint="eastAsia" w:ascii="黑体" w:eastAsia="黑体" w:cs="Times New Roman"/>
                          <w:sz w:val="28"/>
                          <w:szCs w:val="28"/>
                          <w:lang w:val="en-US" w:eastAsia="zh-CN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14:paraId="6A59EBE2">
      <w:pPr>
        <w:ind w:firstLine="717" w:firstLineChars="163"/>
        <w:rPr>
          <w:rFonts w:ascii="黑体" w:hAnsi="华文细黑" w:eastAsia="黑体"/>
          <w:sz w:val="44"/>
          <w:szCs w:val="44"/>
        </w:rPr>
      </w:pPr>
    </w:p>
    <w:p w14:paraId="63CFCE28">
      <w:pPr>
        <w:ind w:firstLine="1280" w:firstLineChars="400"/>
        <w:rPr>
          <w:sz w:val="28"/>
          <w:szCs w:val="28"/>
        </w:rPr>
      </w:pPr>
      <w:r>
        <w:rPr>
          <w:rFonts w:ascii="宋体" w:hAnsi="宋体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page">
                  <wp:posOffset>4648200</wp:posOffset>
                </wp:positionH>
                <wp:positionV relativeFrom="page">
                  <wp:posOffset>1727835</wp:posOffset>
                </wp:positionV>
                <wp:extent cx="1819275" cy="42481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424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B527FAC">
                            <w:pPr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Style w:val="54"/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JJF（皖）</w:t>
                            </w:r>
                            <w:r>
                              <w:rPr>
                                <w:rStyle w:val="54"/>
                                <w:rFonts w:ascii="黑体" w:hAnsi="黑体" w:eastAsia="黑体"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rStyle w:val="54"/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rStyle w:val="54"/>
                                <w:rFonts w:ascii="黑体" w:hAnsi="黑体" w:eastAsia="黑体"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rStyle w:val="54"/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rStyle w:val="54"/>
                                <w:rFonts w:ascii="黑体" w:hAnsi="黑体" w:eastAsia="黑体"/>
                                <w:sz w:val="28"/>
                                <w:szCs w:val="28"/>
                              </w:rPr>
                              <w:t>—</w:t>
                            </w:r>
                            <w:r>
                              <w:rPr>
                                <w:rStyle w:val="54"/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6pt;margin-top:136.05pt;height:33.45pt;width:143.25pt;mso-position-horizontal-relative:page;mso-position-vertical-relative:page;z-index:251664384;mso-width-relative:page;mso-height-relative:page;" filled="f" stroked="f" coordsize="21600,21600" o:gfxdata="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pe+Hg2QAA&#10;AAwBAAAPAAAAAAAAAAEAIAAAACIAAABkcnMvZG93bnJldi54bWxQSwECFAAUAAAACACHTuJAlhYz&#10;px0CAAAjBAAADgAAAAAAAAABACAAAAAoAQAAZHJzL2Uyb0RvYy54bWxQSwUGAAAAAAYABgBZAQAA&#10;t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B527FAC">
                      <w:pPr>
                        <w:jc w:val="center"/>
                        <w:rPr>
                          <w:rFonts w:hint="default" w:ascii="黑体" w:hAnsi="黑体" w:eastAsia="黑体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Style w:val="54"/>
                          <w:rFonts w:hint="eastAsia" w:ascii="黑体" w:hAnsi="黑体" w:eastAsia="黑体"/>
                          <w:sz w:val="28"/>
                          <w:szCs w:val="28"/>
                        </w:rPr>
                        <w:t>JJF（皖）</w:t>
                      </w:r>
                      <w:r>
                        <w:rPr>
                          <w:rStyle w:val="54"/>
                          <w:rFonts w:ascii="黑体" w:hAnsi="黑体" w:eastAsia="黑体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Style w:val="54"/>
                          <w:rFonts w:hint="eastAsia" w:ascii="黑体" w:hAnsi="黑体" w:eastAsia="黑体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Style w:val="54"/>
                          <w:rFonts w:ascii="黑体" w:hAnsi="黑体" w:eastAsia="黑体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Style w:val="54"/>
                          <w:rFonts w:hint="eastAsia" w:ascii="黑体" w:hAnsi="黑体" w:eastAsia="黑体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Style w:val="54"/>
                          <w:rFonts w:ascii="黑体" w:hAnsi="黑体" w:eastAsia="黑体"/>
                          <w:sz w:val="28"/>
                          <w:szCs w:val="28"/>
                        </w:rPr>
                        <w:t>—</w:t>
                      </w:r>
                      <w:r>
                        <w:rPr>
                          <w:rStyle w:val="54"/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XXXX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宋体" w:hAnsi="宋体"/>
          <w:color w:val="000000"/>
          <w:sz w:val="32"/>
          <w:szCs w:val="32"/>
        </w:rPr>
        <w:pict>
          <v:shape id="_x0000_s1026" o:spid="_x0000_s1026" o:spt="75" type="#_x0000_t75" style="position:absolute;left:0pt;margin-left:365.25pt;margin-top:117.75pt;height:75.75pt;width:152.25pt;mso-position-horizontal-relative:page;mso-position-vertical-relative:page;z-index:-25165721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anchorlock/>
          </v:shape>
          <o:OLEObject Type="Embed" ProgID="" ShapeID="_x0000_s1026" DrawAspect="Content" ObjectID="_1468075725" r:id="rId15">
            <o:LockedField>false</o:LockedField>
          </o:OLEObject>
        </w:pict>
      </w:r>
    </w:p>
    <w:p w14:paraId="437B1898">
      <w:pPr>
        <w:ind w:firstLine="980" w:firstLineChars="350"/>
        <w:rPr>
          <w:sz w:val="28"/>
          <w:szCs w:val="28"/>
        </w:rPr>
      </w:pPr>
    </w:p>
    <w:p w14:paraId="1EE0D955">
      <w:pPr>
        <w:pBdr>
          <w:bottom w:val="single" w:color="auto" w:sz="6" w:space="31"/>
        </w:pBdr>
        <w:jc w:val="center"/>
        <w:rPr>
          <w:sz w:val="28"/>
          <w:szCs w:val="28"/>
        </w:rPr>
      </w:pPr>
    </w:p>
    <w:p w14:paraId="12CFE6C4">
      <w:pPr>
        <w:ind w:firstLine="560" w:firstLineChars="200"/>
        <w:rPr>
          <w:rFonts w:ascii="黑体" w:eastAsia="黑体" w:cs="黑体"/>
          <w:color w:val="FF0000"/>
          <w:kern w:val="0"/>
          <w:sz w:val="28"/>
          <w:szCs w:val="28"/>
        </w:rPr>
      </w:pPr>
    </w:p>
    <w:p w14:paraId="68CD9B2F">
      <w:pPr>
        <w:ind w:firstLine="1680" w:firstLineChars="200"/>
        <w:rPr>
          <w:sz w:val="84"/>
          <w:szCs w:val="84"/>
        </w:rPr>
      </w:pPr>
    </w:p>
    <w:p w14:paraId="698888A0">
      <w:pPr>
        <w:ind w:firstLine="1680" w:firstLineChars="200"/>
        <w:rPr>
          <w:sz w:val="84"/>
          <w:szCs w:val="84"/>
        </w:rPr>
      </w:pPr>
    </w:p>
    <w:p w14:paraId="2D303FBF">
      <w:pPr>
        <w:pStyle w:val="19"/>
        <w:spacing w:before="0" w:after="0"/>
        <w:jc w:val="both"/>
        <w:outlineLvl w:val="9"/>
        <w:rPr>
          <w:sz w:val="84"/>
          <w:szCs w:val="84"/>
        </w:rPr>
      </w:pPr>
    </w:p>
    <w:p w14:paraId="53EB55E1">
      <w:pPr>
        <w:ind w:firstLine="560" w:firstLineChars="200"/>
        <w:rPr>
          <w:sz w:val="28"/>
          <w:szCs w:val="28"/>
        </w:rPr>
      </w:pPr>
    </w:p>
    <w:p w14:paraId="32DCF4B4">
      <w:pPr>
        <w:ind w:firstLine="560" w:firstLineChars="200"/>
        <w:rPr>
          <w:sz w:val="28"/>
          <w:szCs w:val="28"/>
        </w:rPr>
      </w:pPr>
    </w:p>
    <w:p w14:paraId="056A79E1">
      <w:pPr>
        <w:ind w:firstLine="1460" w:firstLineChars="500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pacing w:val="6"/>
          <w:sz w:val="28"/>
          <w:szCs w:val="28"/>
        </w:rPr>
        <w:t>归 口 单 位</w:t>
      </w:r>
      <w:r>
        <w:rPr>
          <w:rFonts w:hint="eastAsia" w:ascii="黑体" w:hAnsi="黑体" w:eastAsia="黑体"/>
          <w:b/>
          <w:sz w:val="28"/>
          <w:szCs w:val="28"/>
        </w:rPr>
        <w:t>：</w:t>
      </w:r>
      <w:r>
        <w:rPr>
          <w:rFonts w:hint="eastAsia" w:ascii="黑体" w:hAnsi="黑体" w:eastAsia="黑体"/>
          <w:sz w:val="28"/>
          <w:szCs w:val="28"/>
        </w:rPr>
        <w:t>安徽省</w:t>
      </w:r>
      <w:r>
        <w:rPr>
          <w:rFonts w:hint="eastAsia" w:ascii="黑体" w:hAnsi="黑体" w:eastAsia="黑体"/>
          <w:sz w:val="28"/>
          <w:szCs w:val="28"/>
          <w:lang w:eastAsia="zh-CN"/>
        </w:rPr>
        <w:t>几何量计量技术委员会</w:t>
      </w:r>
    </w:p>
    <w:p w14:paraId="68E141BE">
      <w:pPr>
        <w:ind w:firstLine="1400" w:firstLineChars="500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</w:rPr>
        <w:t>主要起草单位：</w:t>
      </w:r>
      <w:r>
        <w:rPr>
          <w:rFonts w:hint="eastAsia" w:ascii="黑体" w:hAnsi="黑体" w:eastAsia="黑体"/>
          <w:sz w:val="28"/>
          <w:szCs w:val="28"/>
        </w:rPr>
        <w:t>芜湖市计量测试研究</w:t>
      </w:r>
      <w:r>
        <w:rPr>
          <w:rFonts w:hint="eastAsia" w:ascii="黑体" w:hAnsi="黑体" w:eastAsia="黑体"/>
          <w:sz w:val="28"/>
          <w:szCs w:val="28"/>
          <w:lang w:eastAsia="zh-CN"/>
        </w:rPr>
        <w:t>院</w:t>
      </w:r>
    </w:p>
    <w:p w14:paraId="784755BC">
      <w:pPr>
        <w:ind w:left="3356" w:leftChars="665" w:hanging="1960" w:hangingChars="700"/>
        <w:rPr>
          <w:rFonts w:hint="eastAsia"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b/>
          <w:sz w:val="28"/>
          <w:szCs w:val="28"/>
        </w:rPr>
        <w:t>参加起草单位：</w:t>
      </w:r>
      <w:r>
        <w:rPr>
          <w:rFonts w:hint="eastAsia" w:ascii="黑体" w:hAnsi="黑体" w:eastAsia="黑体"/>
          <w:sz w:val="28"/>
          <w:szCs w:val="28"/>
          <w:highlight w:val="none"/>
        </w:rPr>
        <w:t>安徽省纤维检验局</w:t>
      </w:r>
    </w:p>
    <w:p w14:paraId="28E60869">
      <w:pPr>
        <w:ind w:left="3351" w:leftChars="1596" w:firstLine="0" w:firstLineChars="0"/>
        <w:rPr>
          <w:rFonts w:hint="eastAsia"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芜湖市纤维检验所</w:t>
      </w:r>
    </w:p>
    <w:p w14:paraId="66AE32D8">
      <w:pPr>
        <w:ind w:left="3351" w:leftChars="1596" w:firstLine="0" w:firstLineChars="0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上海真兰仪表科技股份有限公司</w:t>
      </w:r>
    </w:p>
    <w:p w14:paraId="13E80115">
      <w:pPr>
        <w:rPr>
          <w:sz w:val="28"/>
          <w:szCs w:val="28"/>
        </w:rPr>
      </w:pPr>
    </w:p>
    <w:p w14:paraId="7B882605">
      <w:pPr>
        <w:jc w:val="center"/>
        <w:rPr>
          <w:rFonts w:ascii="宋体" w:hAnsi="宋体" w:eastAsia="宋体"/>
          <w:sz w:val="28"/>
          <w:szCs w:val="28"/>
        </w:rPr>
        <w:sectPr>
          <w:headerReference r:id="rId6" w:type="default"/>
          <w:footerReference r:id="rId7" w:type="default"/>
          <w:pgSz w:w="11906" w:h="16838"/>
          <w:pgMar w:top="1440" w:right="1134" w:bottom="1440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AndChars" w:linePitch="312" w:charSpace="0"/>
        </w:sectPr>
      </w:pPr>
      <w:r>
        <w:rPr>
          <w:rFonts w:hint="eastAsia" w:ascii="宋体" w:hAnsi="宋体" w:eastAsia="宋体"/>
          <w:sz w:val="28"/>
          <w:szCs w:val="28"/>
        </w:rPr>
        <w:t>本规范委托</w:t>
      </w:r>
      <w:r>
        <w:rPr>
          <w:rFonts w:hint="eastAsia" w:hAnsi="宋体"/>
          <w:sz w:val="28"/>
          <w:szCs w:val="28"/>
        </w:rPr>
        <w:t>安徽省几何量计量</w:t>
      </w:r>
      <w:bookmarkStart w:id="67" w:name="_GoBack"/>
      <w:bookmarkEnd w:id="67"/>
      <w:r>
        <w:rPr>
          <w:rFonts w:hint="eastAsia" w:hAnsi="宋体"/>
          <w:sz w:val="28"/>
          <w:szCs w:val="28"/>
        </w:rPr>
        <w:t>技术委员会</w:t>
      </w:r>
      <w:r>
        <w:rPr>
          <w:rFonts w:hint="eastAsia" w:ascii="宋体" w:hAnsi="宋体" w:eastAsia="宋体"/>
          <w:sz w:val="28"/>
          <w:szCs w:val="28"/>
        </w:rPr>
        <w:t>负责解释</w:t>
      </w:r>
    </w:p>
    <w:p w14:paraId="759F0DD9">
      <w:pPr>
        <w:rPr>
          <w:sz w:val="24"/>
        </w:rPr>
      </w:pPr>
    </w:p>
    <w:p w14:paraId="4032DA5F">
      <w:pPr>
        <w:rPr>
          <w:rFonts w:ascii="黑体" w:eastAsia="黑体"/>
          <w:b/>
          <w:sz w:val="28"/>
          <w:szCs w:val="28"/>
        </w:rPr>
      </w:pPr>
    </w:p>
    <w:p w14:paraId="0F70FBC2">
      <w:pPr>
        <w:ind w:firstLine="834" w:firstLineChars="298"/>
        <w:rPr>
          <w:rFonts w:ascii="黑体" w:eastAsia="黑体"/>
          <w:b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本规范主要起草人：</w:t>
      </w:r>
      <w:r>
        <w:rPr>
          <w:rFonts w:hint="eastAsia" w:ascii="黑体" w:eastAsia="黑体"/>
          <w:b/>
          <w:sz w:val="28"/>
          <w:szCs w:val="28"/>
        </w:rPr>
        <w:t xml:space="preserve"> </w:t>
      </w:r>
    </w:p>
    <w:p w14:paraId="210792F0">
      <w:pPr>
        <w:spacing w:line="360" w:lineRule="auto"/>
        <w:ind w:firstLine="3220" w:firstLineChars="11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许巧云（芜湖市计量测试研究</w:t>
      </w:r>
      <w:r>
        <w:rPr>
          <w:rFonts w:hint="eastAsia" w:ascii="黑体" w:hAnsi="黑体" w:eastAsia="黑体"/>
          <w:sz w:val="28"/>
          <w:szCs w:val="28"/>
          <w:lang w:eastAsia="zh-CN"/>
        </w:rPr>
        <w:t>院</w:t>
      </w:r>
      <w:r>
        <w:rPr>
          <w:rFonts w:hint="eastAsia" w:ascii="黑体" w:hAnsi="黑体" w:eastAsia="黑体"/>
          <w:sz w:val="28"/>
          <w:szCs w:val="28"/>
        </w:rPr>
        <w:t>）</w:t>
      </w:r>
    </w:p>
    <w:p w14:paraId="649689D2">
      <w:pPr>
        <w:spacing w:line="360" w:lineRule="auto"/>
        <w:ind w:firstLine="3220" w:firstLineChars="115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钱  鹏（芜湖市计量测试研究</w:t>
      </w:r>
      <w:r>
        <w:rPr>
          <w:rFonts w:hint="eastAsia" w:ascii="黑体" w:hAnsi="黑体" w:eastAsia="黑体"/>
          <w:sz w:val="28"/>
          <w:szCs w:val="28"/>
          <w:lang w:eastAsia="zh-CN"/>
        </w:rPr>
        <w:t>院</w:t>
      </w:r>
      <w:r>
        <w:rPr>
          <w:rFonts w:hint="eastAsia" w:ascii="黑体" w:hAnsi="黑体" w:eastAsia="黑体"/>
          <w:sz w:val="28"/>
          <w:szCs w:val="28"/>
        </w:rPr>
        <w:t>）</w:t>
      </w:r>
    </w:p>
    <w:p w14:paraId="5DD5FB29">
      <w:pPr>
        <w:spacing w:line="360" w:lineRule="auto"/>
        <w:ind w:firstLine="3220" w:firstLineChars="11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胡承志（芜湖市计量测试研究</w:t>
      </w:r>
      <w:r>
        <w:rPr>
          <w:rFonts w:hint="eastAsia" w:ascii="黑体" w:hAnsi="黑体" w:eastAsia="黑体"/>
          <w:sz w:val="28"/>
          <w:szCs w:val="28"/>
          <w:lang w:eastAsia="zh-CN"/>
        </w:rPr>
        <w:t>院</w:t>
      </w:r>
      <w:r>
        <w:rPr>
          <w:rFonts w:hint="eastAsia" w:ascii="黑体" w:hAnsi="黑体" w:eastAsia="黑体"/>
          <w:sz w:val="28"/>
          <w:szCs w:val="28"/>
        </w:rPr>
        <w:t>）</w:t>
      </w:r>
    </w:p>
    <w:p w14:paraId="6A4E0A23">
      <w:pPr>
        <w:spacing w:line="360" w:lineRule="auto"/>
        <w:ind w:firstLine="3220" w:firstLineChars="115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柴  捷（安徽省纤维检验局）</w:t>
      </w:r>
    </w:p>
    <w:p w14:paraId="1D3ECA4D">
      <w:pPr>
        <w:spacing w:line="360" w:lineRule="auto"/>
        <w:ind w:firstLine="3220" w:firstLineChars="115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徐荣华（上海真兰仪表科技股份有限公司）</w:t>
      </w:r>
    </w:p>
    <w:p w14:paraId="256CA985">
      <w:pPr>
        <w:spacing w:line="360" w:lineRule="auto"/>
        <w:ind w:firstLine="3220" w:firstLineChars="11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郑荣莉（芜湖市纤维检验所）</w:t>
      </w:r>
    </w:p>
    <w:p w14:paraId="0CA4CCB7">
      <w:pPr>
        <w:pStyle w:val="10"/>
        <w:spacing w:line="360" w:lineRule="auto"/>
        <w:ind w:firstLine="1680" w:firstLineChars="600"/>
        <w:rPr>
          <w:rFonts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参加起草人：</w:t>
      </w:r>
    </w:p>
    <w:p w14:paraId="2A801B7A">
      <w:pPr>
        <w:spacing w:line="360" w:lineRule="auto"/>
        <w:ind w:firstLine="3220" w:firstLineChars="1150"/>
        <w:rPr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李杭兵（芜湖市纤维检验所）</w:t>
      </w:r>
    </w:p>
    <w:p w14:paraId="73E6539E">
      <w:pPr>
        <w:ind w:firstLine="2800" w:firstLineChars="1000"/>
        <w:rPr>
          <w:sz w:val="28"/>
          <w:szCs w:val="28"/>
        </w:rPr>
      </w:pPr>
    </w:p>
    <w:p w14:paraId="6FEA1337">
      <w:pPr>
        <w:pStyle w:val="19"/>
        <w:outlineLvl w:val="9"/>
      </w:pPr>
    </w:p>
    <w:p w14:paraId="0946DCF0">
      <w:pPr>
        <w:pStyle w:val="19"/>
        <w:jc w:val="both"/>
        <w:outlineLvl w:val="9"/>
        <w:sectPr>
          <w:footerReference r:id="rId8" w:type="default"/>
          <w:pgSz w:w="11906" w:h="16838"/>
          <w:pgMar w:top="1440" w:right="1134" w:bottom="1440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AndChars" w:linePitch="312" w:charSpace="0"/>
        </w:sectPr>
      </w:pPr>
    </w:p>
    <w:p w14:paraId="203EA1B5">
      <w:pPr>
        <w:ind w:firstLine="480" w:firstLineChars="200"/>
        <w:rPr>
          <w:sz w:val="24"/>
        </w:rPr>
      </w:pPr>
    </w:p>
    <w:p w14:paraId="4F9A5190">
      <w:pPr>
        <w:spacing w:line="360" w:lineRule="auto"/>
        <w:jc w:val="center"/>
      </w:pPr>
      <w:r>
        <w:rPr>
          <w:rFonts w:hint="eastAsia" w:ascii="黑体" w:hAnsi="黑体" w:eastAsia="黑体" w:cs="黑体"/>
          <w:sz w:val="44"/>
          <w:szCs w:val="44"/>
        </w:rPr>
        <w:t>目    录</w:t>
      </w:r>
    </w:p>
    <w:p w14:paraId="34BF68CF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TOC \o "1-1" \h \u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fldChar w:fldCharType="begin"/>
      </w:r>
      <w:r>
        <w:instrText xml:space="preserve"> HYPERLINK \l "_Toc5313"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引言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_Toc5313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II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639A617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"_Toc23511"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1  范围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_Toc23511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4A7B7FF3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"_Toc13629"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2  引用文件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_Toc13629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872F865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"_Toc20820"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3  术语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_Toc20820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333DE071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"_Toc32035"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4  概述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_Toc32035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5E538170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"_Toc20141"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 xml:space="preserve">5  </w:t>
      </w:r>
      <w:r>
        <w:rPr>
          <w:rFonts w:hint="eastAsia" w:ascii="宋体" w:hAnsi="宋体" w:cs="宋体"/>
          <w:bCs/>
          <w:kern w:val="2"/>
          <w:sz w:val="24"/>
          <w:szCs w:val="24"/>
        </w:rPr>
        <w:t>计量特性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43A498E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"_Toc7072"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6  校准条件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_Toc7072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3F0E4312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"_Toc28357"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6.1  环境条件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_Toc28357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577C318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"_Toc2885"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 xml:space="preserve">6.2  </w:t>
      </w:r>
      <w:r>
        <w:rPr>
          <w:rFonts w:hint="eastAsia" w:ascii="宋体" w:hAnsi="宋体" w:cs="宋体"/>
          <w:kern w:val="0"/>
          <w:sz w:val="24"/>
        </w:rPr>
        <w:t>测量标准及其他设备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_Toc2885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19773B17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instrText xml:space="preserve"> HYPERLINK \l "校准项目和校准方法" </w:instrTex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Style w:val="26"/>
          <w:rFonts w:hint="eastAsia" w:ascii="宋体" w:hAnsi="宋体" w:cs="宋体"/>
          <w:bCs/>
          <w:kern w:val="2"/>
          <w:sz w:val="24"/>
          <w:szCs w:val="24"/>
        </w:rPr>
        <w:t xml:space="preserve">  校准项目和校准方法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_Toc25818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end"/>
      </w:r>
    </w:p>
    <w:p w14:paraId="53F4C77C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instrText xml:space="preserve"> HYPERLINK \l "校准前工作" </w:instrTex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Style w:val="26"/>
          <w:rFonts w:hint="eastAsia" w:ascii="宋体" w:hAnsi="宋体" w:cs="宋体"/>
          <w:sz w:val="24"/>
          <w:szCs w:val="24"/>
        </w:rPr>
        <w:t>.</w:t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 xml:space="preserve">1  </w:t>
      </w:r>
      <w:r>
        <w:rPr>
          <w:rStyle w:val="26"/>
          <w:rFonts w:hint="eastAsia" w:ascii="宋体" w:hAnsi="宋体"/>
          <w:sz w:val="24"/>
          <w:lang w:eastAsia="zh-CN"/>
        </w:rPr>
        <w:t>校准前工作</w:t>
      </w:r>
      <w:r>
        <w:rPr>
          <w:rStyle w:val="26"/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Style w:val="26"/>
          <w:rFonts w:hint="eastAsia" w:ascii="宋体" w:hAnsi="宋体" w:cs="宋体"/>
          <w:sz w:val="24"/>
          <w:szCs w:val="24"/>
        </w:rPr>
        <w:instrText xml:space="preserve"> PAGEREF _Toc25818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Style w:val="26"/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end"/>
      </w:r>
    </w:p>
    <w:p w14:paraId="63690CC7">
      <w:pPr>
        <w:pStyle w:val="40"/>
        <w:tabs>
          <w:tab w:val="right" w:leader="dot" w:pos="907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"_Toc25818"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sz w:val="24"/>
          <w:szCs w:val="24"/>
        </w:rPr>
        <w:t>.2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</w:rPr>
        <w:t>棉花反射率示值误差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_Toc25818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928B6F5">
      <w:pPr>
        <w:pStyle w:val="40"/>
        <w:tabs>
          <w:tab w:val="right" w:leader="dot" w:pos="907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instrText xml:space="preserve"> HYPERLINK \l "棉花黄色深度示值误差" </w:instrTex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Style w:val="26"/>
          <w:rFonts w:hint="eastAsia" w:ascii="宋体" w:hAnsi="宋体" w:cs="宋体"/>
          <w:sz w:val="24"/>
          <w:szCs w:val="24"/>
        </w:rPr>
        <w:t>.</w:t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 xml:space="preserve">3  </w:t>
      </w:r>
      <w:r>
        <w:rPr>
          <w:rStyle w:val="26"/>
          <w:rFonts w:hint="eastAsia" w:ascii="宋体" w:hAnsi="宋体"/>
          <w:sz w:val="24"/>
          <w:lang w:val="en-US" w:eastAsia="zh-CN"/>
        </w:rPr>
        <w:t>棉花黄色深度示值误差</w:t>
      </w:r>
      <w:r>
        <w:rPr>
          <w:rStyle w:val="26"/>
          <w:rFonts w:hint="eastAsia" w:ascii="宋体" w:hAnsi="宋体" w:cs="宋体"/>
          <w:sz w:val="24"/>
          <w:szCs w:val="24"/>
        </w:rPr>
        <w:tab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end"/>
      </w:r>
    </w:p>
    <w:p w14:paraId="20F40CC5">
      <w:pPr>
        <w:pStyle w:val="40"/>
        <w:tabs>
          <w:tab w:val="right" w:leader="dot" w:pos="907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instrText xml:space="preserve"> HYPERLINK \l "平均长度测量重复性" </w:instrTex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Style w:val="26"/>
          <w:rFonts w:hint="eastAsia" w:ascii="宋体" w:hAnsi="宋体" w:cs="宋体"/>
          <w:sz w:val="24"/>
          <w:szCs w:val="24"/>
        </w:rPr>
        <w:t>.</w:t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 xml:space="preserve">4  </w:t>
      </w:r>
      <w:r>
        <w:rPr>
          <w:rStyle w:val="26"/>
          <w:rFonts w:hint="eastAsia" w:ascii="宋体" w:hAnsi="宋体"/>
          <w:sz w:val="24"/>
          <w:lang w:eastAsia="zh-CN"/>
        </w:rPr>
        <w:t>平均长度测量重复性</w:t>
      </w:r>
      <w:r>
        <w:rPr>
          <w:rStyle w:val="26"/>
          <w:rFonts w:hint="eastAsia" w:ascii="宋体" w:hAnsi="宋体" w:cs="宋体"/>
          <w:sz w:val="24"/>
          <w:szCs w:val="24"/>
        </w:rPr>
        <w:tab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end"/>
      </w:r>
    </w:p>
    <w:p w14:paraId="3F363E8E">
      <w:pPr>
        <w:pStyle w:val="40"/>
        <w:tabs>
          <w:tab w:val="right" w:leader="dot" w:pos="907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instrText xml:space="preserve"> HYPERLINK \l "纤维平均长度" </w:instrTex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Style w:val="26"/>
          <w:rFonts w:hint="eastAsia" w:ascii="宋体" w:hAnsi="宋体" w:cs="宋体"/>
          <w:sz w:val="24"/>
          <w:szCs w:val="24"/>
        </w:rPr>
        <w:t>.</w:t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 xml:space="preserve">5  </w:t>
      </w:r>
      <w:r>
        <w:rPr>
          <w:rStyle w:val="26"/>
          <w:rFonts w:hint="eastAsia" w:ascii="宋体" w:hAnsi="宋体" w:eastAsia="宋体" w:cs="Times New Roman"/>
          <w:sz w:val="24"/>
          <w:szCs w:val="24"/>
        </w:rPr>
        <w:t>纤维平均长度、</w:t>
      </w:r>
      <w:r>
        <w:rPr>
          <w:rStyle w:val="26"/>
          <w:rFonts w:hint="eastAsia" w:hAnsi="宋体" w:cs="Times New Roman"/>
          <w:sz w:val="24"/>
          <w:szCs w:val="24"/>
          <w:lang w:eastAsia="zh-CN"/>
        </w:rPr>
        <w:t>长度</w:t>
      </w:r>
      <w:r>
        <w:rPr>
          <w:rStyle w:val="26"/>
          <w:rFonts w:hint="eastAsia" w:ascii="宋体" w:hAnsi="宋体" w:eastAsia="宋体" w:cs="Times New Roman"/>
          <w:sz w:val="24"/>
          <w:szCs w:val="24"/>
        </w:rPr>
        <w:t>整齐度指数、断裂比强度示值误差</w:t>
      </w:r>
      <w:r>
        <w:rPr>
          <w:rStyle w:val="26"/>
          <w:rFonts w:hint="eastAsia" w:ascii="宋体" w:hAnsi="宋体" w:cs="宋体"/>
          <w:sz w:val="24"/>
          <w:szCs w:val="24"/>
        </w:rPr>
        <w:tab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end"/>
      </w:r>
    </w:p>
    <w:p w14:paraId="7EF3369D">
      <w:pPr>
        <w:pStyle w:val="40"/>
        <w:tabs>
          <w:tab w:val="right" w:leader="dot" w:pos="907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instrText xml:space="preserve"> HYPERLINK \l "马克隆" </w:instrTex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Style w:val="26"/>
          <w:rFonts w:hint="eastAsia" w:ascii="宋体" w:hAnsi="宋体" w:cs="宋体"/>
          <w:sz w:val="24"/>
          <w:szCs w:val="24"/>
        </w:rPr>
        <w:t>.</w:t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 xml:space="preserve">6  </w:t>
      </w:r>
      <w:r>
        <w:rPr>
          <w:rStyle w:val="26"/>
          <w:rFonts w:hint="eastAsia" w:ascii="宋体" w:hAnsi="宋体" w:eastAsia="宋体"/>
          <w:kern w:val="0"/>
          <w:sz w:val="24"/>
        </w:rPr>
        <w:t>马克隆值示值误差</w:t>
      </w:r>
      <w:r>
        <w:rPr>
          <w:rStyle w:val="26"/>
          <w:rFonts w:hint="eastAsia" w:ascii="宋体" w:hAnsi="宋体" w:cs="宋体"/>
          <w:sz w:val="24"/>
          <w:szCs w:val="24"/>
        </w:rPr>
        <w:tab/>
      </w:r>
      <w:r>
        <w:rPr>
          <w:rStyle w:val="26"/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fldChar w:fldCharType="end"/>
      </w:r>
    </w:p>
    <w:p w14:paraId="6E468C01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"_Toc29877"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sz w:val="24"/>
          <w:szCs w:val="24"/>
        </w:rPr>
        <w:t xml:space="preserve">  校准结果的处理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42C72BBD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"_Toc15556"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sz w:val="24"/>
          <w:szCs w:val="24"/>
        </w:rPr>
        <w:t xml:space="preserve">  复校时间间隔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05BAADBF">
      <w:pPr>
        <w:pStyle w:val="40"/>
        <w:tabs>
          <w:tab w:val="right" w:leader="dot" w:pos="9070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"_Toc20834"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附录A：纤维平均长度误差测量结果不确定度评定（示例）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02EC52F6">
      <w:pPr>
        <w:pStyle w:val="40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fldChar w:fldCharType="begin"/>
      </w:r>
      <w:r>
        <w:instrText xml:space="preserve"> HYPERLINK \l "_Toc4626"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附录B：大容量纤维测试仪校准结果（式样）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</w:p>
    <w:p w14:paraId="5FD4C8D9">
      <w:pPr>
        <w:spacing w:line="360" w:lineRule="auto"/>
      </w:pPr>
      <w:r>
        <w:rPr>
          <w:rFonts w:hint="eastAsia" w:ascii="宋体" w:hAnsi="宋体" w:cs="宋体"/>
          <w:sz w:val="24"/>
        </w:rPr>
        <w:fldChar w:fldCharType="end"/>
      </w:r>
    </w:p>
    <w:p w14:paraId="69E9FCEF">
      <w:pPr>
        <w:pStyle w:val="16"/>
        <w:tabs>
          <w:tab w:val="right" w:leader="dot" w:pos="9628"/>
        </w:tabs>
        <w:spacing w:line="72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</w:rPr>
        <w:br w:type="page"/>
      </w:r>
      <w:bookmarkStart w:id="0" w:name="_Toc5313"/>
      <w:bookmarkStart w:id="1" w:name="_Toc339537049"/>
      <w:bookmarkStart w:id="2" w:name="_Toc350158457"/>
      <w:r>
        <w:rPr>
          <w:rStyle w:val="69"/>
          <w:rFonts w:hint="eastAsia" w:ascii="黑体" w:hAnsi="黑体" w:eastAsia="黑体" w:cs="黑体"/>
          <w:b w:val="0"/>
          <w:bCs w:val="0"/>
          <w:sz w:val="44"/>
          <w:szCs w:val="44"/>
          <w:highlight w:val="none"/>
        </w:rPr>
        <w:t>引</w:t>
      </w:r>
      <w:r>
        <w:rPr>
          <w:rStyle w:val="69"/>
          <w:rFonts w:hint="eastAsia" w:ascii="黑体" w:hAnsi="黑体" w:eastAsia="黑体" w:cs="黑体"/>
          <w:b w:val="0"/>
          <w:bCs w:val="0"/>
          <w:sz w:val="44"/>
          <w:szCs w:val="44"/>
          <w:highlight w:val="none"/>
          <w:lang w:val="en-US"/>
        </w:rPr>
        <w:t xml:space="preserve">  </w:t>
      </w:r>
      <w:r>
        <w:rPr>
          <w:rStyle w:val="69"/>
          <w:rFonts w:hint="eastAsia" w:ascii="黑体" w:hAnsi="黑体" w:eastAsia="黑体" w:cs="黑体"/>
          <w:b w:val="0"/>
          <w:bCs w:val="0"/>
          <w:sz w:val="44"/>
          <w:szCs w:val="44"/>
          <w:highlight w:val="none"/>
        </w:rPr>
        <w:t>言</w:t>
      </w:r>
      <w:bookmarkEnd w:id="0"/>
      <w:bookmarkEnd w:id="1"/>
      <w:bookmarkEnd w:id="2"/>
    </w:p>
    <w:p w14:paraId="78EA2222">
      <w:pPr>
        <w:widowControl/>
        <w:snapToGrid w:val="0"/>
        <w:spacing w:beforeLines="50" w:line="360" w:lineRule="auto"/>
        <w:ind w:firstLine="480" w:firstLineChars="200"/>
        <w:rPr>
          <w:rFonts w:hint="eastAsia" w:eastAsia="宋体"/>
          <w:color w:val="000000"/>
          <w:sz w:val="24"/>
          <w:lang w:eastAsia="zh-CN"/>
        </w:rPr>
      </w:pPr>
      <w:r>
        <w:rPr>
          <w:color w:val="000000"/>
          <w:sz w:val="24"/>
        </w:rPr>
        <w:t>本规范</w:t>
      </w:r>
      <w:r>
        <w:rPr>
          <w:rFonts w:hint="eastAsia"/>
          <w:color w:val="000000"/>
          <w:sz w:val="24"/>
          <w:lang w:eastAsia="zh-CN"/>
        </w:rPr>
        <w:t>以</w:t>
      </w:r>
      <w:r>
        <w:rPr>
          <w:color w:val="000000"/>
          <w:sz w:val="24"/>
        </w:rPr>
        <w:t>JJF 1071《国家计量校准规范编写规则》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JJF 1001《通用计量术语及定义》、JJF 1059.1《测量不确定度评定与表示》为基础规范进行</w:t>
      </w:r>
      <w:r>
        <w:rPr>
          <w:rFonts w:hint="eastAsia"/>
          <w:color w:val="000000"/>
          <w:sz w:val="24"/>
        </w:rPr>
        <w:t>制</w:t>
      </w:r>
      <w:r>
        <w:rPr>
          <w:rFonts w:hint="eastAsia"/>
          <w:color w:val="000000"/>
          <w:sz w:val="24"/>
          <w:lang w:eastAsia="zh-CN"/>
        </w:rPr>
        <w:t>定，本规范主要参考</w:t>
      </w:r>
      <w:r>
        <w:rPr>
          <w:rFonts w:hint="eastAsia"/>
          <w:color w:val="000000"/>
          <w:sz w:val="24"/>
        </w:rPr>
        <w:t>GB/T 20392-2023</w:t>
      </w:r>
      <w:r>
        <w:rPr>
          <w:color w:val="000000"/>
          <w:sz w:val="24"/>
        </w:rPr>
        <w:t>《</w:t>
      </w:r>
      <w:r>
        <w:rPr>
          <w:rFonts w:hint="eastAsia" w:ascii="宋体" w:hAnsi="宋体"/>
          <w:sz w:val="24"/>
        </w:rPr>
        <w:t>棉纤维物理性能试验方法 大容量纤维测试仪法</w:t>
      </w:r>
      <w:r>
        <w:rPr>
          <w:color w:val="000000"/>
          <w:sz w:val="24"/>
        </w:rPr>
        <w:t>》</w:t>
      </w:r>
      <w:r>
        <w:rPr>
          <w:rFonts w:hint="eastAsia"/>
          <w:color w:val="000000"/>
          <w:sz w:val="24"/>
          <w:lang w:eastAsia="zh-CN"/>
        </w:rPr>
        <w:t>编制而成。</w:t>
      </w:r>
    </w:p>
    <w:p w14:paraId="5C4963D6">
      <w:pPr>
        <w:autoSpaceDE w:val="0"/>
        <w:autoSpaceDN w:val="0"/>
        <w:spacing w:line="360" w:lineRule="auto"/>
        <w:ind w:firstLine="556" w:firstLineChars="232"/>
        <w:jc w:val="both"/>
        <w:rPr>
          <w:rFonts w:ascii="宋体" w:hAnsi="Times New Roman" w:eastAsia="宋体" w:cs="Times New Roman"/>
          <w:color w:val="000000"/>
          <w:sz w:val="24"/>
          <w:lang w:val="en-US" w:eastAsia="zh-CN" w:bidi="ar-SA"/>
        </w:rPr>
      </w:pPr>
      <w:r>
        <w:rPr>
          <w:rFonts w:ascii="宋体" w:hAnsi="Times New Roman" w:eastAsia="宋体" w:cs="Times New Roman"/>
          <w:color w:val="000000"/>
          <w:sz w:val="24"/>
          <w:lang w:val="en-GB" w:eastAsia="zh-CN" w:bidi="ar-SA"/>
        </w:rPr>
        <w:t>本规范为首次</w:t>
      </w:r>
      <w:r>
        <w:rPr>
          <w:rFonts w:hint="eastAsia" w:ascii="宋体" w:hAnsi="Times New Roman" w:eastAsia="宋体" w:cs="Times New Roman"/>
          <w:color w:val="000000"/>
          <w:sz w:val="24"/>
          <w:lang w:val="en-GB" w:eastAsia="zh-CN" w:bidi="ar-SA"/>
        </w:rPr>
        <w:t>制定</w:t>
      </w:r>
      <w:r>
        <w:rPr>
          <w:rFonts w:ascii="宋体" w:hAnsi="Times New Roman" w:eastAsia="宋体" w:cs="Times New Roman"/>
          <w:color w:val="000000"/>
          <w:sz w:val="24"/>
          <w:lang w:val="en-GB" w:eastAsia="zh-CN" w:bidi="ar-SA"/>
        </w:rPr>
        <w:t>。</w:t>
      </w:r>
    </w:p>
    <w:p w14:paraId="75A280A8">
      <w:pPr>
        <w:pStyle w:val="19"/>
        <w:outlineLvl w:val="9"/>
      </w:pPr>
    </w:p>
    <w:p w14:paraId="5A94D141">
      <w:pPr>
        <w:pBdr>
          <w:bottom w:val="single" w:color="auto" w:sz="6" w:space="1"/>
        </w:pBdr>
        <w:jc w:val="center"/>
        <w:rPr>
          <w:sz w:val="24"/>
        </w:rPr>
        <w:sectPr>
          <w:headerReference r:id="rId9" w:type="default"/>
          <w:footerReference r:id="rId10" w:type="default"/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720" w:num="1"/>
          <w:docGrid w:type="linesAndChars" w:linePitch="312" w:charSpace="0"/>
        </w:sectPr>
      </w:pPr>
    </w:p>
    <w:p w14:paraId="411FCF55">
      <w:pPr>
        <w:spacing w:line="360" w:lineRule="auto"/>
        <w:jc w:val="center"/>
        <w:outlineLvl w:val="0"/>
        <w:rPr>
          <w:rFonts w:ascii="黑体" w:eastAsia="黑体"/>
          <w:sz w:val="32"/>
          <w:szCs w:val="32"/>
        </w:rPr>
      </w:pPr>
      <w:bookmarkStart w:id="3" w:name="_Toc17049"/>
      <w:r>
        <w:rPr>
          <w:rFonts w:hint="eastAsia" w:ascii="黑体" w:hAnsi="华文细黑" w:eastAsia="黑体"/>
          <w:sz w:val="32"/>
          <w:szCs w:val="32"/>
        </w:rPr>
        <w:t>大容量纤维测试仪校准规范</w:t>
      </w:r>
      <w:bookmarkEnd w:id="3"/>
    </w:p>
    <w:p w14:paraId="1B7205D6">
      <w:pPr>
        <w:pStyle w:val="49"/>
        <w:spacing w:line="360" w:lineRule="auto"/>
        <w:jc w:val="left"/>
        <w:rPr>
          <w:b w:val="0"/>
        </w:rPr>
      </w:pPr>
      <w:bookmarkStart w:id="4" w:name="_Toc4537"/>
      <w:bookmarkStart w:id="5" w:name="_Toc23511"/>
      <w:bookmarkStart w:id="6" w:name="_Toc350158458"/>
      <w:r>
        <w:rPr>
          <w:rFonts w:hint="eastAsia"/>
          <w:b w:val="0"/>
        </w:rPr>
        <w:t>1  范围</w:t>
      </w:r>
      <w:bookmarkEnd w:id="4"/>
      <w:bookmarkEnd w:id="5"/>
      <w:bookmarkEnd w:id="6"/>
    </w:p>
    <w:p w14:paraId="231F914C">
      <w:pPr>
        <w:spacing w:line="360" w:lineRule="auto"/>
        <w:ind w:firstLine="480" w:firstLineChars="200"/>
        <w:rPr>
          <w:color w:val="FF0000"/>
          <w:spacing w:val="2"/>
          <w:kern w:val="0"/>
          <w:sz w:val="24"/>
        </w:rPr>
      </w:pPr>
      <w:r>
        <w:rPr>
          <w:rFonts w:hint="eastAsia" w:ascii="宋体" w:hAnsi="宋体"/>
          <w:sz w:val="24"/>
        </w:rPr>
        <w:t>本规范适用于大容量纤维测试仪校准</w:t>
      </w:r>
      <w:r>
        <w:rPr>
          <w:bCs/>
          <w:sz w:val="24"/>
        </w:rPr>
        <w:t>。</w:t>
      </w:r>
    </w:p>
    <w:p w14:paraId="4E70B573">
      <w:pPr>
        <w:pStyle w:val="49"/>
        <w:spacing w:line="360" w:lineRule="auto"/>
        <w:jc w:val="left"/>
        <w:rPr>
          <w:rFonts w:hAnsi="Times New Roman"/>
          <w:b w:val="0"/>
        </w:rPr>
      </w:pPr>
      <w:bookmarkStart w:id="7" w:name="_Toc13629"/>
      <w:bookmarkStart w:id="8" w:name="_Toc350158459"/>
      <w:bookmarkStart w:id="9" w:name="_Toc2583"/>
      <w:r>
        <w:rPr>
          <w:rFonts w:hint="eastAsia" w:hAnsi="Times New Roman"/>
          <w:b w:val="0"/>
        </w:rPr>
        <w:t>2  引用文件</w:t>
      </w:r>
      <w:bookmarkEnd w:id="7"/>
      <w:bookmarkEnd w:id="8"/>
      <w:bookmarkEnd w:id="9"/>
    </w:p>
    <w:p w14:paraId="0B0CAE98">
      <w:pPr>
        <w:pStyle w:val="36"/>
        <w:spacing w:line="360" w:lineRule="auto"/>
        <w:ind w:firstLine="488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本规范引用了下列文件：</w:t>
      </w:r>
    </w:p>
    <w:p w14:paraId="2C7CE61F">
      <w:pPr>
        <w:pStyle w:val="36"/>
        <w:spacing w:line="360" w:lineRule="auto"/>
        <w:ind w:left="2674" w:leftChars="228" w:hanging="2196" w:hangingChars="900"/>
        <w:jc w:val="left"/>
        <w:rPr>
          <w:rFonts w:hAnsi="宋体"/>
          <w:spacing w:val="0"/>
          <w:kern w:val="2"/>
          <w:sz w:val="24"/>
          <w:szCs w:val="24"/>
        </w:rPr>
      </w:pPr>
      <w:r>
        <w:rPr>
          <w:rFonts w:hint="eastAsia" w:ascii="宋体" w:hAnsi="宋体" w:eastAsia="宋体"/>
          <w:sz w:val="24"/>
        </w:rPr>
        <w:t>GB/T 3291.1-1997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highlight w:val="none"/>
        </w:rPr>
        <w:t>纺织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纺织材料性能和试验术语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第1部分</w:t>
      </w:r>
      <w:r>
        <w:rPr>
          <w:rFonts w:hint="eastAsia" w:ascii="宋体" w:hAnsi="宋体"/>
          <w:sz w:val="24"/>
          <w:lang w:val="en-US" w:eastAsia="zh-CN"/>
        </w:rPr>
        <w:t>:</w:t>
      </w:r>
      <w:r>
        <w:rPr>
          <w:rFonts w:hint="eastAsia" w:ascii="宋体" w:hAnsi="宋体"/>
          <w:sz w:val="24"/>
        </w:rPr>
        <w:t>纤维和纱线</w:t>
      </w:r>
    </w:p>
    <w:p w14:paraId="20F657C2">
      <w:pPr>
        <w:pStyle w:val="36"/>
        <w:spacing w:line="360" w:lineRule="auto"/>
        <w:ind w:firstLine="488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GB/T 6498-</w:t>
      </w:r>
      <w:r>
        <w:rPr>
          <w:rFonts w:hint="eastAsia" w:ascii="宋体" w:hAnsi="宋体"/>
          <w:sz w:val="24"/>
        </w:rPr>
        <w:t>20</w:t>
      </w:r>
      <w:r>
        <w:rPr>
          <w:rFonts w:hint="eastAsia" w:ascii="宋体" w:hAnsi="宋体"/>
          <w:sz w:val="24"/>
          <w:lang w:val="en-US" w:eastAsia="zh-CN"/>
        </w:rPr>
        <w:t xml:space="preserve">24  </w:t>
      </w:r>
      <w:r>
        <w:rPr>
          <w:rFonts w:hint="eastAsia" w:ascii="宋体" w:hAnsi="宋体"/>
          <w:sz w:val="24"/>
        </w:rPr>
        <w:t>棉纤维马克隆值试验方法</w:t>
      </w:r>
    </w:p>
    <w:p w14:paraId="2E9E2B38">
      <w:pPr>
        <w:pStyle w:val="36"/>
        <w:spacing w:line="360" w:lineRule="auto"/>
        <w:ind w:firstLine="488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GB/T 20392-2023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棉纤维物理性能试验方法 大容量纤维测试仪法</w:t>
      </w:r>
    </w:p>
    <w:p w14:paraId="64373CB3">
      <w:pPr>
        <w:pStyle w:val="36"/>
        <w:spacing w:line="360" w:lineRule="auto"/>
        <w:ind w:firstLine="480"/>
        <w:jc w:val="left"/>
        <w:rPr>
          <w:rFonts w:hAnsi="宋体"/>
          <w:spacing w:val="0"/>
          <w:kern w:val="2"/>
          <w:sz w:val="24"/>
          <w:szCs w:val="24"/>
        </w:rPr>
      </w:pPr>
      <w:r>
        <w:rPr>
          <w:rFonts w:hint="eastAsia" w:hAnsi="宋体"/>
          <w:spacing w:val="0"/>
          <w:kern w:val="2"/>
          <w:sz w:val="24"/>
          <w:szCs w:val="24"/>
        </w:rPr>
        <w:t>凡是注明日期的引用文件，仅注日期的版本适用于本规范；凡不注日期的引用文件，其最新版本（包括所有的修订单）适用于本规范。</w:t>
      </w:r>
    </w:p>
    <w:p w14:paraId="248C2701">
      <w:pPr>
        <w:pStyle w:val="49"/>
        <w:spacing w:line="360" w:lineRule="auto"/>
        <w:jc w:val="left"/>
        <w:rPr>
          <w:rFonts w:hAnsi="Times New Roman"/>
          <w:b w:val="0"/>
        </w:rPr>
      </w:pPr>
      <w:bookmarkStart w:id="10" w:name="_Toc20820"/>
      <w:bookmarkStart w:id="11" w:name="_Toc25115"/>
      <w:r>
        <w:rPr>
          <w:rFonts w:hint="eastAsia" w:hAnsi="Times New Roman"/>
          <w:b w:val="0"/>
        </w:rPr>
        <w:t>3  术语</w:t>
      </w:r>
      <w:bookmarkEnd w:id="10"/>
      <w:bookmarkEnd w:id="11"/>
    </w:p>
    <w:p w14:paraId="1D808839">
      <w:pPr>
        <w:pStyle w:val="36"/>
        <w:spacing w:line="360" w:lineRule="auto"/>
        <w:ind w:firstLine="0" w:firstLineChars="0"/>
        <w:jc w:val="left"/>
        <w:rPr>
          <w:rFonts w:ascii="宋体" w:hAnsi="宋体"/>
          <w:spacing w:val="0"/>
          <w:kern w:val="2"/>
          <w:sz w:val="24"/>
          <w:szCs w:val="24"/>
        </w:rPr>
      </w:pPr>
      <w:r>
        <w:rPr>
          <w:rFonts w:hint="eastAsia" w:ascii="宋体" w:hAnsi="宋体"/>
          <w:spacing w:val="0"/>
          <w:kern w:val="2"/>
          <w:sz w:val="24"/>
          <w:szCs w:val="24"/>
        </w:rPr>
        <w:t xml:space="preserve">3.1 </w:t>
      </w:r>
      <w:r>
        <w:rPr>
          <w:rFonts w:hint="eastAsia" w:ascii="宋体"/>
          <w:sz w:val="24"/>
        </w:rPr>
        <w:t>平均长度</w:t>
      </w:r>
      <w:r>
        <w:rPr>
          <w:rFonts w:hint="eastAsia" w:ascii="宋体" w:hAnsi="宋体"/>
          <w:spacing w:val="0"/>
          <w:kern w:val="2"/>
          <w:sz w:val="24"/>
          <w:szCs w:val="24"/>
        </w:rPr>
        <w:t xml:space="preserve">  mean</w:t>
      </w:r>
      <w:r>
        <w:rPr>
          <w:rFonts w:ascii="宋体" w:hAnsi="宋体"/>
          <w:spacing w:val="0"/>
          <w:kern w:val="2"/>
          <w:sz w:val="24"/>
          <w:szCs w:val="24"/>
        </w:rPr>
        <w:t xml:space="preserve"> </w:t>
      </w:r>
      <w:r>
        <w:rPr>
          <w:rFonts w:hint="eastAsia" w:ascii="宋体" w:hAnsi="宋体"/>
          <w:spacing w:val="0"/>
          <w:kern w:val="2"/>
          <w:sz w:val="24"/>
          <w:szCs w:val="24"/>
        </w:rPr>
        <w:t>length</w:t>
      </w:r>
    </w:p>
    <w:p w14:paraId="430528CF">
      <w:pPr>
        <w:pStyle w:val="36"/>
        <w:spacing w:line="360" w:lineRule="auto"/>
        <w:ind w:firstLine="488"/>
        <w:jc w:val="left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在照影曲线图中，从纤维数量100%处作照影曲线的切线，切线与长度</w:t>
      </w:r>
      <w:r>
        <w:rPr>
          <w:rFonts w:hint="eastAsia" w:ascii="宋体"/>
          <w:sz w:val="24"/>
          <w:lang w:eastAsia="zh-CN"/>
        </w:rPr>
        <w:t>坐标</w:t>
      </w:r>
      <w:r>
        <w:rPr>
          <w:rFonts w:hint="eastAsia" w:ascii="宋体"/>
          <w:sz w:val="24"/>
        </w:rPr>
        <w:t>轴相交点所显示的长度值。</w:t>
      </w:r>
    </w:p>
    <w:p w14:paraId="120C780D">
      <w:pPr>
        <w:pStyle w:val="36"/>
        <w:spacing w:line="360" w:lineRule="auto"/>
        <w:ind w:firstLine="488"/>
        <w:jc w:val="left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[来源：</w:t>
      </w:r>
      <w:r>
        <w:rPr>
          <w:rFonts w:hint="eastAsia" w:ascii="宋体" w:hAnsi="宋体"/>
          <w:sz w:val="24"/>
        </w:rPr>
        <w:t>GB/T 20392-2023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3.6</w:t>
      </w:r>
      <w:r>
        <w:rPr>
          <w:rFonts w:hint="eastAsia" w:ascii="宋体"/>
          <w:sz w:val="24"/>
          <w:lang w:val="en-US" w:eastAsia="zh-CN"/>
        </w:rPr>
        <w:t>]</w:t>
      </w:r>
    </w:p>
    <w:p w14:paraId="556E21D3">
      <w:pPr>
        <w:pStyle w:val="36"/>
        <w:spacing w:line="360" w:lineRule="auto"/>
        <w:ind w:left="0" w:leftChars="0" w:firstLine="0" w:firstLineChars="0"/>
        <w:jc w:val="left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3.2 上半部平均长度 upper half mean length</w:t>
      </w:r>
    </w:p>
    <w:p w14:paraId="38685C32">
      <w:pPr>
        <w:pStyle w:val="36"/>
        <w:spacing w:line="360" w:lineRule="auto"/>
        <w:ind w:firstLine="488"/>
        <w:jc w:val="left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在照影曲线图中，从纤维数量</w:t>
      </w:r>
      <w:r>
        <w:rPr>
          <w:rFonts w:hint="eastAsia" w:ascii="宋体"/>
          <w:sz w:val="24"/>
          <w:lang w:val="en-US" w:eastAsia="zh-CN"/>
        </w:rPr>
        <w:t>5</w:t>
      </w:r>
      <w:r>
        <w:rPr>
          <w:rFonts w:hint="eastAsia" w:ascii="宋体"/>
          <w:sz w:val="24"/>
        </w:rPr>
        <w:t>0%处作照影曲线的切线，切线与长度</w:t>
      </w:r>
      <w:r>
        <w:rPr>
          <w:rFonts w:hint="eastAsia" w:ascii="宋体"/>
          <w:sz w:val="24"/>
          <w:highlight w:val="none"/>
          <w:lang w:eastAsia="zh-CN"/>
        </w:rPr>
        <w:t>坐标</w:t>
      </w:r>
      <w:r>
        <w:rPr>
          <w:rFonts w:hint="eastAsia" w:ascii="宋体"/>
          <w:sz w:val="24"/>
          <w:highlight w:val="none"/>
        </w:rPr>
        <w:t>轴</w:t>
      </w:r>
      <w:r>
        <w:rPr>
          <w:rFonts w:hint="eastAsia" w:ascii="宋体"/>
          <w:sz w:val="24"/>
        </w:rPr>
        <w:t>相交点所显示的长度值。</w:t>
      </w:r>
    </w:p>
    <w:p w14:paraId="0CAC0687">
      <w:pPr>
        <w:pStyle w:val="36"/>
        <w:spacing w:line="360" w:lineRule="auto"/>
        <w:ind w:firstLine="488"/>
        <w:jc w:val="left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[来源：</w:t>
      </w:r>
      <w:r>
        <w:rPr>
          <w:rFonts w:hint="eastAsia" w:ascii="宋体" w:hAnsi="宋体"/>
          <w:sz w:val="24"/>
        </w:rPr>
        <w:t>GB/T 20392-2023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3.7</w:t>
      </w:r>
      <w:r>
        <w:rPr>
          <w:rFonts w:hint="eastAsia" w:ascii="宋体"/>
          <w:sz w:val="24"/>
          <w:lang w:val="en-US" w:eastAsia="zh-CN"/>
        </w:rPr>
        <w:t>]</w:t>
      </w:r>
    </w:p>
    <w:p w14:paraId="32D230A8">
      <w:pPr>
        <w:pStyle w:val="36"/>
        <w:spacing w:line="360" w:lineRule="auto"/>
        <w:ind w:firstLine="0" w:firstLineChars="0"/>
        <w:jc w:val="left"/>
        <w:rPr>
          <w:rFonts w:ascii="宋体"/>
          <w:sz w:val="24"/>
        </w:rPr>
      </w:pPr>
      <w:r>
        <w:rPr>
          <w:rFonts w:hint="eastAsia" w:ascii="宋体"/>
          <w:sz w:val="24"/>
        </w:rPr>
        <w:t>3.</w:t>
      </w:r>
      <w:r>
        <w:rPr>
          <w:rFonts w:hint="eastAsia" w:ascii="宋体"/>
          <w:sz w:val="24"/>
          <w:lang w:val="en-US" w:eastAsia="zh-CN"/>
        </w:rPr>
        <w:t>3</w:t>
      </w:r>
      <w:r>
        <w:rPr>
          <w:rFonts w:hint="eastAsia" w:ascii="宋体"/>
          <w:sz w:val="24"/>
        </w:rPr>
        <w:t xml:space="preserve"> 断裂比强度 breaking tenacity</w:t>
      </w:r>
    </w:p>
    <w:p w14:paraId="094185DA">
      <w:pPr>
        <w:pStyle w:val="36"/>
        <w:spacing w:line="360" w:lineRule="auto"/>
        <w:ind w:firstLine="488"/>
        <w:jc w:val="left"/>
        <w:rPr>
          <w:rFonts w:hint="eastAsia" w:ascii="宋体"/>
          <w:sz w:val="24"/>
        </w:rPr>
      </w:pPr>
      <w:r>
        <w:rPr>
          <w:rFonts w:hint="eastAsia" w:ascii="宋体"/>
          <w:sz w:val="24"/>
          <w:lang w:eastAsia="zh-CN"/>
        </w:rPr>
        <w:t>束纤维</w:t>
      </w:r>
      <w:r>
        <w:rPr>
          <w:rFonts w:hint="eastAsia" w:ascii="宋体"/>
          <w:sz w:val="24"/>
        </w:rPr>
        <w:t>拉伸至</w:t>
      </w:r>
      <w:r>
        <w:rPr>
          <w:rFonts w:hint="eastAsia" w:ascii="宋体"/>
          <w:sz w:val="24"/>
          <w:lang w:eastAsia="zh-CN"/>
        </w:rPr>
        <w:t>断裂</w:t>
      </w:r>
      <w:r>
        <w:rPr>
          <w:rFonts w:hint="eastAsia" w:ascii="宋体"/>
          <w:sz w:val="24"/>
        </w:rPr>
        <w:t>负荷</w:t>
      </w:r>
      <w:r>
        <w:rPr>
          <w:rFonts w:hint="eastAsia" w:ascii="宋体"/>
          <w:sz w:val="24"/>
          <w:lang w:eastAsia="zh-CN"/>
        </w:rPr>
        <w:t>最大</w:t>
      </w:r>
      <w:r>
        <w:rPr>
          <w:rFonts w:hint="eastAsia" w:ascii="宋体"/>
          <w:sz w:val="24"/>
        </w:rPr>
        <w:t>时所对应的强度，以未受应变试样每单位线密度所受的力来表示。</w:t>
      </w:r>
    </w:p>
    <w:p w14:paraId="3B162037">
      <w:pPr>
        <w:pStyle w:val="36"/>
        <w:spacing w:line="360" w:lineRule="auto"/>
        <w:ind w:firstLine="488"/>
        <w:jc w:val="left"/>
        <w:rPr>
          <w:rFonts w:ascii="宋体"/>
          <w:sz w:val="24"/>
        </w:rPr>
      </w:pPr>
      <w:r>
        <w:rPr>
          <w:rFonts w:hint="eastAsia" w:ascii="宋体"/>
          <w:sz w:val="24"/>
          <w:lang w:val="en-US" w:eastAsia="zh-CN"/>
        </w:rPr>
        <w:t>[来源：</w:t>
      </w:r>
      <w:r>
        <w:rPr>
          <w:rFonts w:hint="eastAsia" w:ascii="宋体" w:hAnsi="宋体"/>
          <w:sz w:val="24"/>
        </w:rPr>
        <w:t>GB/T 20392-2023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3.9</w:t>
      </w:r>
      <w:r>
        <w:rPr>
          <w:rFonts w:hint="eastAsia" w:ascii="宋体"/>
          <w:sz w:val="24"/>
          <w:lang w:val="en-US" w:eastAsia="zh-CN"/>
        </w:rPr>
        <w:t>]</w:t>
      </w:r>
    </w:p>
    <w:p w14:paraId="4B3103E6">
      <w:pPr>
        <w:pStyle w:val="36"/>
        <w:spacing w:line="360" w:lineRule="auto"/>
        <w:ind w:firstLine="0" w:firstLineChars="0"/>
        <w:jc w:val="left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</w:rPr>
        <w:t>3.</w:t>
      </w:r>
      <w:r>
        <w:rPr>
          <w:rFonts w:hint="eastAsia" w:ascii="宋体"/>
          <w:sz w:val="24"/>
          <w:lang w:val="en-US" w:eastAsia="zh-CN"/>
        </w:rPr>
        <w:t>4</w:t>
      </w:r>
      <w:r>
        <w:rPr>
          <w:rFonts w:hint="eastAsia" w:ascii="宋体"/>
          <w:sz w:val="24"/>
        </w:rPr>
        <w:t xml:space="preserve"> 长度整齐度指数</w:t>
      </w:r>
      <w:r>
        <w:rPr>
          <w:rFonts w:hint="eastAsia" w:ascii="宋体"/>
          <w:sz w:val="24"/>
          <w:lang w:val="en-US" w:eastAsia="zh-CN"/>
        </w:rPr>
        <w:t xml:space="preserve"> uniformity index</w:t>
      </w:r>
    </w:p>
    <w:p w14:paraId="628D6540">
      <w:pPr>
        <w:pStyle w:val="36"/>
        <w:spacing w:line="360" w:lineRule="auto"/>
        <w:ind w:firstLine="488"/>
        <w:jc w:val="left"/>
        <w:rPr>
          <w:rFonts w:hint="eastAsia" w:ascii="宋体"/>
          <w:sz w:val="24"/>
        </w:rPr>
      </w:pPr>
      <w:r>
        <w:rPr>
          <w:rFonts w:hint="eastAsia" w:ascii="宋体"/>
          <w:sz w:val="24"/>
          <w:lang w:eastAsia="zh-CN"/>
        </w:rPr>
        <w:t>在</w:t>
      </w:r>
      <w:r>
        <w:rPr>
          <w:rFonts w:hint="eastAsia" w:ascii="宋体"/>
          <w:sz w:val="24"/>
        </w:rPr>
        <w:t>棉纤维长度</w:t>
      </w:r>
      <w:r>
        <w:rPr>
          <w:rFonts w:hint="eastAsia" w:ascii="宋体"/>
          <w:sz w:val="24"/>
          <w:lang w:eastAsia="zh-CN"/>
        </w:rPr>
        <w:t>测试中</w:t>
      </w:r>
      <w:r>
        <w:rPr>
          <w:rFonts w:hint="eastAsia" w:ascii="宋体"/>
          <w:sz w:val="24"/>
        </w:rPr>
        <w:t>，平均长度占上半部平均长度的百分率。</w:t>
      </w:r>
    </w:p>
    <w:p w14:paraId="0B826426">
      <w:pPr>
        <w:pStyle w:val="36"/>
        <w:spacing w:line="360" w:lineRule="auto"/>
        <w:ind w:firstLine="488"/>
        <w:jc w:val="left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[来源：</w:t>
      </w:r>
      <w:r>
        <w:rPr>
          <w:rFonts w:hint="eastAsia" w:ascii="宋体" w:hAnsi="宋体"/>
          <w:sz w:val="24"/>
        </w:rPr>
        <w:t>GB/T 20392-2023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3.8</w:t>
      </w:r>
      <w:r>
        <w:rPr>
          <w:rFonts w:hint="eastAsia" w:ascii="宋体"/>
          <w:sz w:val="24"/>
          <w:lang w:val="en-US" w:eastAsia="zh-CN"/>
        </w:rPr>
        <w:t>]</w:t>
      </w:r>
    </w:p>
    <w:p w14:paraId="27187009">
      <w:pPr>
        <w:pStyle w:val="36"/>
        <w:spacing w:line="360" w:lineRule="auto"/>
        <w:ind w:firstLine="0" w:firstLineChars="0"/>
        <w:jc w:val="left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</w:rPr>
        <w:t>3.</w:t>
      </w:r>
      <w:r>
        <w:rPr>
          <w:rFonts w:hint="eastAsia" w:ascii="宋体"/>
          <w:sz w:val="24"/>
          <w:lang w:val="en-US" w:eastAsia="zh-CN"/>
        </w:rPr>
        <w:t>5</w:t>
      </w:r>
      <w:r>
        <w:rPr>
          <w:rFonts w:hint="eastAsia" w:ascii="宋体"/>
          <w:sz w:val="24"/>
        </w:rPr>
        <w:t xml:space="preserve"> 马克隆值 micronaire</w:t>
      </w:r>
      <w:r>
        <w:rPr>
          <w:rFonts w:hint="eastAsia" w:ascii="宋体"/>
          <w:sz w:val="24"/>
          <w:lang w:val="en-US" w:eastAsia="zh-CN"/>
        </w:rPr>
        <w:t xml:space="preserve"> value</w:t>
      </w:r>
    </w:p>
    <w:p w14:paraId="2F88F0F2">
      <w:pPr>
        <w:pStyle w:val="36"/>
        <w:spacing w:line="360" w:lineRule="auto"/>
        <w:ind w:firstLine="488"/>
        <w:jc w:val="left"/>
        <w:rPr>
          <w:rFonts w:ascii="宋体"/>
          <w:sz w:val="24"/>
        </w:rPr>
      </w:pPr>
      <w:r>
        <w:rPr>
          <w:rFonts w:hint="eastAsia" w:ascii="宋体"/>
          <w:sz w:val="24"/>
        </w:rPr>
        <w:t>一定量棉纤维在规定条件下的透气阻力的量度，它是棉纤维线密度与成熟度比的乘积，以马克隆刻度表示。</w:t>
      </w:r>
    </w:p>
    <w:p w14:paraId="249BDDC4">
      <w:pPr>
        <w:pStyle w:val="36"/>
        <w:spacing w:line="360" w:lineRule="auto"/>
        <w:ind w:firstLine="0" w:firstLineChars="0"/>
        <w:jc w:val="left"/>
        <w:rPr>
          <w:rFonts w:ascii="宋体"/>
          <w:sz w:val="24"/>
        </w:rPr>
      </w:pPr>
      <w:r>
        <w:rPr>
          <w:rFonts w:hint="eastAsia" w:ascii="宋体"/>
          <w:sz w:val="24"/>
        </w:rPr>
        <w:t>3.</w:t>
      </w:r>
      <w:r>
        <w:rPr>
          <w:rFonts w:hint="eastAsia" w:ascii="宋体"/>
          <w:sz w:val="24"/>
          <w:lang w:val="en-US" w:eastAsia="zh-CN"/>
        </w:rPr>
        <w:t>6</w:t>
      </w:r>
      <w:r>
        <w:rPr>
          <w:rFonts w:hint="eastAsia" w:ascii="宋体"/>
          <w:sz w:val="24"/>
        </w:rPr>
        <w:t xml:space="preserve"> 反射率 reflectance degree</w:t>
      </w:r>
    </w:p>
    <w:p w14:paraId="5E89218B">
      <w:pPr>
        <w:pStyle w:val="36"/>
        <w:spacing w:line="360" w:lineRule="auto"/>
        <w:ind w:firstLine="488"/>
        <w:jc w:val="left"/>
        <w:rPr>
          <w:rFonts w:ascii="宋体"/>
          <w:sz w:val="24"/>
        </w:rPr>
      </w:pPr>
      <w:r>
        <w:rPr>
          <w:rFonts w:hint="eastAsia" w:ascii="宋体"/>
          <w:sz w:val="24"/>
        </w:rPr>
        <w:t>表示棉花样品反射光的明暗程度，以Rd表示。</w:t>
      </w:r>
    </w:p>
    <w:p w14:paraId="0A42187F">
      <w:pPr>
        <w:pStyle w:val="36"/>
        <w:spacing w:line="360" w:lineRule="auto"/>
        <w:ind w:firstLine="0" w:firstLineChars="0"/>
        <w:jc w:val="left"/>
        <w:rPr>
          <w:rFonts w:ascii="宋体"/>
          <w:sz w:val="24"/>
        </w:rPr>
      </w:pPr>
      <w:r>
        <w:rPr>
          <w:rFonts w:hint="eastAsia" w:ascii="宋体"/>
          <w:sz w:val="24"/>
        </w:rPr>
        <w:t>3.</w:t>
      </w:r>
      <w:r>
        <w:rPr>
          <w:rFonts w:hint="eastAsia" w:ascii="宋体"/>
          <w:sz w:val="24"/>
          <w:lang w:val="en-US" w:eastAsia="zh-CN"/>
        </w:rPr>
        <w:t>7</w:t>
      </w:r>
      <w:r>
        <w:rPr>
          <w:rFonts w:hint="eastAsia" w:ascii="宋体"/>
          <w:sz w:val="24"/>
        </w:rPr>
        <w:t xml:space="preserve"> 黄色深度 </w:t>
      </w:r>
      <w:r>
        <w:rPr>
          <w:rFonts w:hint="eastAsia" w:ascii="宋体"/>
          <w:sz w:val="24"/>
          <w:highlight w:val="none"/>
        </w:rPr>
        <w:t>yellowness</w:t>
      </w:r>
    </w:p>
    <w:p w14:paraId="6C97105B">
      <w:pPr>
        <w:pStyle w:val="36"/>
        <w:spacing w:line="360" w:lineRule="auto"/>
        <w:ind w:firstLine="488"/>
        <w:jc w:val="left"/>
        <w:rPr>
          <w:rFonts w:hint="eastAsia" w:ascii="宋体" w:eastAsia="宋体"/>
          <w:sz w:val="24"/>
          <w:lang w:val="en-US" w:eastAsia="zh-CN"/>
        </w:rPr>
      </w:pPr>
      <w:r>
        <w:rPr>
          <w:rFonts w:hint="eastAsia" w:ascii="宋体"/>
          <w:sz w:val="24"/>
        </w:rPr>
        <w:t>表示棉花黄色色调的深浅程度,以+b表示</w:t>
      </w:r>
      <w:r>
        <w:rPr>
          <w:rFonts w:hint="eastAsia" w:ascii="宋体"/>
          <w:sz w:val="24"/>
          <w:lang w:eastAsia="zh-CN"/>
        </w:rPr>
        <w:t>。</w:t>
      </w:r>
    </w:p>
    <w:p w14:paraId="5DF81BC5">
      <w:pPr>
        <w:pStyle w:val="49"/>
        <w:spacing w:line="360" w:lineRule="auto"/>
        <w:jc w:val="left"/>
        <w:rPr>
          <w:rFonts w:hAnsi="Times New Roman"/>
          <w:b w:val="0"/>
        </w:rPr>
      </w:pPr>
      <w:bookmarkStart w:id="12" w:name="_Toc1120"/>
      <w:bookmarkStart w:id="13" w:name="_Toc32035"/>
      <w:bookmarkStart w:id="14" w:name="_Toc350158460"/>
      <w:r>
        <w:rPr>
          <w:rFonts w:hint="eastAsia" w:hAnsi="Times New Roman"/>
          <w:b w:val="0"/>
        </w:rPr>
        <w:t>4  概述</w:t>
      </w:r>
      <w:bookmarkEnd w:id="12"/>
      <w:bookmarkEnd w:id="13"/>
      <w:bookmarkEnd w:id="14"/>
    </w:p>
    <w:p w14:paraId="55C93D21">
      <w:pPr>
        <w:pStyle w:val="36"/>
        <w:spacing w:line="360" w:lineRule="auto"/>
        <w:ind w:firstLine="488"/>
        <w:jc w:val="left"/>
        <w:rPr>
          <w:rFonts w:hAnsi="宋体"/>
          <w:sz w:val="24"/>
        </w:rPr>
      </w:pPr>
      <w:r>
        <w:rPr>
          <w:rFonts w:hint="eastAsia" w:hAnsi="宋体"/>
          <w:sz w:val="24"/>
        </w:rPr>
        <w:t>大容量纤维测试仪可以全方位、综合性、快速的对棉纤维进行检测分级，为棉纤维进行针对性采购和配棉结构优化提供准确的数据参考，是满足棉花质量检验的重要纤维计量检测仪器之一，该仪器的应用提高了公证检验的科学性和权威性，对棉检部门客观、公正地评价棉花品质、指导棉纺企业配棉、合理利用棉花原料。</w:t>
      </w:r>
    </w:p>
    <w:p w14:paraId="501009CF">
      <w:pPr>
        <w:pStyle w:val="36"/>
        <w:spacing w:line="360" w:lineRule="auto"/>
        <w:ind w:firstLine="488"/>
        <w:jc w:val="lef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大容量纤维测试仪采用模块设计：共有长度/强度、颜色/杂质、马克隆值/成熟度、棉结仪4块模块，其结构示意图见图1。</w:t>
      </w:r>
    </w:p>
    <w:p w14:paraId="72E73C73">
      <w:pPr>
        <w:pStyle w:val="36"/>
        <w:spacing w:line="360" w:lineRule="auto"/>
        <w:ind w:firstLine="0" w:firstLineChars="0"/>
        <w:jc w:val="left"/>
        <w:rPr>
          <w:rFonts w:hint="eastAsia" w:hAnsi="宋体"/>
          <w:sz w:val="24"/>
        </w:rPr>
      </w:pPr>
    </w:p>
    <w:p w14:paraId="4550E912">
      <w:pPr>
        <w:pStyle w:val="36"/>
        <w:spacing w:line="360" w:lineRule="auto"/>
        <w:ind w:firstLine="0" w:firstLineChars="0"/>
      </w:pPr>
      <w:r>
        <w:drawing>
          <wp:inline distT="0" distB="0" distL="114300" distR="114300">
            <wp:extent cx="5051425" cy="3418840"/>
            <wp:effectExtent l="0" t="0" r="15875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51425" cy="341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1A8B5">
      <w:pPr>
        <w:pStyle w:val="36"/>
        <w:numPr>
          <w:ilvl w:val="0"/>
          <w:numId w:val="4"/>
        </w:numPr>
        <w:spacing w:line="360" w:lineRule="auto"/>
        <w:ind w:firstLine="0" w:firstLineChars="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长度/强度模块；2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 w:eastAsia="宋体"/>
          <w:sz w:val="18"/>
          <w:szCs w:val="18"/>
        </w:rPr>
        <w:t>杂质</w:t>
      </w:r>
      <w:r>
        <w:rPr>
          <w:rFonts w:hint="eastAsia" w:ascii="宋体" w:hAnsi="宋体"/>
          <w:sz w:val="18"/>
          <w:szCs w:val="18"/>
          <w:lang w:eastAsia="zh-CN"/>
        </w:rPr>
        <w:t>和颜色</w:t>
      </w:r>
      <w:r>
        <w:rPr>
          <w:rFonts w:hint="eastAsia" w:ascii="宋体" w:hAnsi="宋体" w:eastAsia="宋体"/>
          <w:sz w:val="18"/>
          <w:szCs w:val="18"/>
        </w:rPr>
        <w:t>模块；3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 w:eastAsia="宋体"/>
          <w:sz w:val="18"/>
          <w:szCs w:val="18"/>
        </w:rPr>
        <w:t>马克隆值模块；4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 w:eastAsia="宋体"/>
          <w:sz w:val="18"/>
          <w:szCs w:val="18"/>
        </w:rPr>
        <w:t>打印机；5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 w:eastAsia="宋体"/>
          <w:sz w:val="18"/>
          <w:szCs w:val="18"/>
        </w:rPr>
        <w:t>天平；6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 w:eastAsia="宋体"/>
          <w:sz w:val="18"/>
          <w:szCs w:val="18"/>
        </w:rPr>
        <w:t>条形码读码器；</w:t>
      </w:r>
    </w:p>
    <w:p w14:paraId="1B85454A">
      <w:pPr>
        <w:pStyle w:val="36"/>
        <w:spacing w:line="360" w:lineRule="auto"/>
        <w:ind w:firstLine="0" w:firstLineChars="0"/>
        <w:rPr>
          <w:rFonts w:hint="eastAsia" w:ascii="宋体" w:hAnsi="宋体" w:eastAsia="宋体"/>
          <w:sz w:val="18"/>
          <w:szCs w:val="18"/>
          <w:lang w:eastAsia="zh-CN"/>
        </w:rPr>
      </w:pPr>
      <w:r>
        <w:rPr>
          <w:rFonts w:hint="eastAsia" w:ascii="宋体" w:hAnsi="宋体" w:eastAsia="宋体"/>
          <w:sz w:val="18"/>
          <w:szCs w:val="18"/>
        </w:rPr>
        <w:t>7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/>
          <w:sz w:val="18"/>
          <w:szCs w:val="18"/>
          <w:lang w:eastAsia="zh-CN"/>
        </w:rPr>
        <w:t>显示器</w:t>
      </w:r>
      <w:r>
        <w:rPr>
          <w:rFonts w:hint="eastAsia" w:ascii="宋体" w:hAnsi="宋体" w:eastAsia="宋体"/>
          <w:sz w:val="18"/>
          <w:szCs w:val="18"/>
        </w:rPr>
        <w:t>；8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/>
          <w:sz w:val="18"/>
          <w:szCs w:val="18"/>
          <w:lang w:eastAsia="zh-CN"/>
        </w:rPr>
        <w:t>扬声器</w:t>
      </w:r>
      <w:r>
        <w:rPr>
          <w:rFonts w:hint="eastAsia" w:ascii="宋体" w:hAnsi="宋体" w:eastAsia="宋体"/>
          <w:sz w:val="18"/>
          <w:szCs w:val="18"/>
        </w:rPr>
        <w:t>；9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/>
          <w:sz w:val="18"/>
          <w:szCs w:val="18"/>
          <w:lang w:eastAsia="zh-CN"/>
        </w:rPr>
        <w:t>键盘</w:t>
      </w:r>
      <w:r>
        <w:rPr>
          <w:rFonts w:hint="eastAsia" w:ascii="宋体" w:hAnsi="宋体" w:eastAsia="宋体"/>
          <w:sz w:val="18"/>
          <w:szCs w:val="18"/>
        </w:rPr>
        <w:t>；</w:t>
      </w:r>
      <w:r>
        <w:rPr>
          <w:rFonts w:hint="eastAsia" w:ascii="宋体" w:hAnsi="宋体"/>
          <w:sz w:val="18"/>
          <w:szCs w:val="18"/>
          <w:lang w:val="en-US" w:eastAsia="zh-CN"/>
        </w:rPr>
        <w:t>10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/>
          <w:sz w:val="18"/>
          <w:szCs w:val="18"/>
          <w:lang w:eastAsia="zh-CN"/>
        </w:rPr>
        <w:t>主处理机</w:t>
      </w:r>
      <w:r>
        <w:rPr>
          <w:rFonts w:hint="eastAsia" w:ascii="宋体" w:hAnsi="宋体" w:eastAsia="宋体"/>
          <w:sz w:val="18"/>
          <w:szCs w:val="18"/>
        </w:rPr>
        <w:t>；</w:t>
      </w:r>
      <w:r>
        <w:rPr>
          <w:rFonts w:hint="eastAsia" w:ascii="宋体" w:hAnsi="宋体"/>
          <w:sz w:val="18"/>
          <w:szCs w:val="18"/>
          <w:lang w:val="en-US" w:eastAsia="zh-CN"/>
        </w:rPr>
        <w:t>11</w:t>
      </w:r>
      <w:r>
        <w:rPr>
          <w:rFonts w:ascii="宋体" w:hAnsi="宋体" w:eastAsia="宋体"/>
          <w:sz w:val="18"/>
          <w:szCs w:val="18"/>
        </w:rPr>
        <w:t>—</w:t>
      </w:r>
      <w:r>
        <w:rPr>
          <w:rFonts w:hint="eastAsia" w:ascii="宋体" w:hAnsi="宋体"/>
          <w:sz w:val="18"/>
          <w:szCs w:val="18"/>
          <w:lang w:val="en-US" w:eastAsia="zh-CN"/>
        </w:rPr>
        <w:t>UPS电源</w:t>
      </w:r>
    </w:p>
    <w:p w14:paraId="08F69A0B">
      <w:pPr>
        <w:pStyle w:val="36"/>
        <w:spacing w:line="360" w:lineRule="auto"/>
        <w:ind w:firstLine="0" w:firstLineChars="0"/>
        <w:rPr>
          <w:rFonts w:ascii="黑体" w:hAnsi="黑体" w:eastAsia="黑体"/>
        </w:rPr>
      </w:pPr>
      <w:bookmarkStart w:id="15" w:name="_1521450047"/>
      <w:bookmarkEnd w:id="15"/>
      <w:r>
        <w:rPr>
          <w:rFonts w:hint="eastAsia" w:ascii="黑体" w:hAnsi="黑体" w:eastAsia="黑体"/>
        </w:rPr>
        <w:t>图1</w:t>
      </w:r>
      <w:bookmarkStart w:id="16" w:name="_Toc350158461"/>
      <w:r>
        <w:rPr>
          <w:rFonts w:hint="eastAsia" w:ascii="黑体" w:hAnsi="黑体" w:eastAsia="黑体"/>
        </w:rPr>
        <w:t xml:space="preserve"> 大容量纤维测试仪结构图</w:t>
      </w:r>
    </w:p>
    <w:bookmarkEnd w:id="16"/>
    <w:p w14:paraId="5F9E6593">
      <w:pPr>
        <w:widowControl/>
        <w:spacing w:line="360" w:lineRule="auto"/>
        <w:outlineLvl w:val="0"/>
        <w:rPr>
          <w:rFonts w:hint="eastAsia" w:ascii="黑体" w:hAnsi="黑体" w:eastAsia="黑体" w:cs="黑体"/>
          <w:sz w:val="24"/>
          <w:szCs w:val="24"/>
        </w:rPr>
      </w:pPr>
      <w:bookmarkStart w:id="17" w:name="_Toc20141"/>
      <w:r>
        <w:rPr>
          <w:rFonts w:hint="eastAsia" w:ascii="黑体" w:hAnsi="黑体" w:eastAsia="黑体" w:cs="黑体"/>
          <w:sz w:val="24"/>
          <w:szCs w:val="24"/>
        </w:rPr>
        <w:t>5  计量特性</w:t>
      </w:r>
      <w:bookmarkEnd w:id="17"/>
    </w:p>
    <w:p w14:paraId="10A6A25F">
      <w:pPr>
        <w:widowControl/>
        <w:spacing w:line="360" w:lineRule="auto"/>
        <w:outlineLvl w:val="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  <w:lang w:val="en-US" w:eastAsia="zh-CN"/>
        </w:rPr>
        <w:t xml:space="preserve">1 </w:t>
      </w:r>
      <w:r>
        <w:rPr>
          <w:rFonts w:hint="eastAsia" w:ascii="宋体" w:hAnsi="宋体" w:eastAsia="宋体"/>
          <w:sz w:val="24"/>
          <w:lang w:val="en-US" w:eastAsia="zh-CN"/>
        </w:rPr>
        <w:t>棉花反射率示值误差</w:t>
      </w:r>
    </w:p>
    <w:p w14:paraId="525DF506">
      <w:pPr>
        <w:widowControl/>
        <w:spacing w:line="360" w:lineRule="auto"/>
        <w:ind w:firstLine="480" w:firstLineChars="200"/>
        <w:outlineLvl w:val="0"/>
        <w:rPr>
          <w:rFonts w:hint="eastAsia" w:ascii="黑体" w:eastAsia="宋体" w:cs="Arial"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/>
          <w:sz w:val="24"/>
        </w:rPr>
        <w:t>仪器棉花反射率示值</w:t>
      </w:r>
      <w:r>
        <w:rPr>
          <w:rFonts w:hint="eastAsia" w:ascii="宋体" w:hAnsi="宋体"/>
          <w:sz w:val="24"/>
          <w:lang w:eastAsia="zh-CN"/>
        </w:rPr>
        <w:t>结果的平均值</w:t>
      </w:r>
      <w:r>
        <w:rPr>
          <w:rFonts w:hint="eastAsia" w:ascii="宋体" w:hAnsi="宋体"/>
          <w:sz w:val="24"/>
          <w:lang w:val="en-US" w:eastAsia="zh-CN"/>
        </w:rPr>
        <w:t>与标准板标准值之差。</w:t>
      </w:r>
    </w:p>
    <w:p w14:paraId="636349D8">
      <w:pPr>
        <w:widowControl/>
        <w:spacing w:line="360" w:lineRule="auto"/>
        <w:outlineLvl w:val="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5.2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lang w:val="en-US" w:eastAsia="zh-CN"/>
        </w:rPr>
        <w:t>棉花黄色深度示值误差</w:t>
      </w:r>
    </w:p>
    <w:p w14:paraId="6342AD21">
      <w:pPr>
        <w:widowControl/>
        <w:spacing w:line="360" w:lineRule="auto"/>
        <w:ind w:firstLine="480" w:firstLineChars="200"/>
        <w:outlineLvl w:val="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仪器棉花</w:t>
      </w:r>
      <w:r>
        <w:rPr>
          <w:rFonts w:hint="eastAsia" w:ascii="宋体" w:hAnsi="宋体"/>
          <w:sz w:val="24"/>
          <w:lang w:eastAsia="zh-CN"/>
        </w:rPr>
        <w:t>黄色深度</w:t>
      </w:r>
      <w:r>
        <w:rPr>
          <w:rFonts w:hint="eastAsia" w:ascii="宋体" w:hAnsi="宋体" w:eastAsia="宋体"/>
          <w:sz w:val="24"/>
        </w:rPr>
        <w:t>示值</w:t>
      </w:r>
      <w:r>
        <w:rPr>
          <w:rFonts w:hint="eastAsia" w:ascii="宋体" w:hAnsi="宋体"/>
          <w:sz w:val="24"/>
          <w:lang w:eastAsia="zh-CN"/>
        </w:rPr>
        <w:t>结果的平均值</w:t>
      </w:r>
      <w:r>
        <w:rPr>
          <w:rFonts w:hint="eastAsia" w:ascii="宋体" w:hAnsi="宋体"/>
          <w:sz w:val="24"/>
          <w:lang w:val="en-US" w:eastAsia="zh-CN"/>
        </w:rPr>
        <w:t>与标准板标准值之差。</w:t>
      </w:r>
    </w:p>
    <w:p w14:paraId="61331006">
      <w:pPr>
        <w:widowControl/>
        <w:spacing w:line="360" w:lineRule="auto"/>
        <w:outlineLvl w:val="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  <w:lang w:val="en-US" w:eastAsia="zh-CN"/>
        </w:rPr>
        <w:t xml:space="preserve">3 </w:t>
      </w:r>
      <w:r>
        <w:rPr>
          <w:rFonts w:hint="eastAsia" w:ascii="宋体" w:hAnsi="宋体" w:eastAsia="宋体"/>
          <w:sz w:val="24"/>
          <w:lang w:val="en-US" w:eastAsia="zh-CN"/>
        </w:rPr>
        <w:t>平均长度测量重复性</w:t>
      </w:r>
    </w:p>
    <w:p w14:paraId="285A951A">
      <w:pPr>
        <w:widowControl/>
        <w:spacing w:line="360" w:lineRule="auto"/>
        <w:outlineLvl w:val="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  <w:lang w:val="en-US" w:eastAsia="zh-CN"/>
        </w:rPr>
        <w:t xml:space="preserve">4 </w:t>
      </w:r>
      <w:r>
        <w:rPr>
          <w:rFonts w:hint="eastAsia" w:ascii="宋体" w:hAnsi="宋体" w:eastAsia="宋体"/>
          <w:sz w:val="24"/>
          <w:lang w:val="en-US" w:eastAsia="zh-CN"/>
        </w:rPr>
        <w:t>纤维平均长度示值误差</w:t>
      </w:r>
    </w:p>
    <w:p w14:paraId="20A897A6">
      <w:pPr>
        <w:widowControl/>
        <w:spacing w:line="360" w:lineRule="auto"/>
        <w:ind w:firstLine="480" w:firstLineChars="200"/>
        <w:outlineLvl w:val="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仪器纤维平均长度示值结果的平均值与标准棉花样品标准值之差。</w:t>
      </w:r>
    </w:p>
    <w:p w14:paraId="2CA408B1">
      <w:pPr>
        <w:widowControl/>
        <w:spacing w:line="360" w:lineRule="auto"/>
        <w:outlineLvl w:val="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5.5</w:t>
      </w:r>
      <w:r>
        <w:rPr>
          <w:rFonts w:hint="eastAsia" w:ascii="宋体" w:hAnsi="宋体"/>
          <w:sz w:val="24"/>
          <w:lang w:val="en-US" w:eastAsia="zh-CN"/>
        </w:rPr>
        <w:t xml:space="preserve"> 长度</w:t>
      </w:r>
      <w:r>
        <w:rPr>
          <w:rFonts w:hint="eastAsia" w:ascii="宋体" w:hAnsi="宋体" w:eastAsia="宋体"/>
          <w:sz w:val="24"/>
          <w:lang w:val="en-US" w:eastAsia="zh-CN"/>
        </w:rPr>
        <w:t>整齐度指数示值误差</w:t>
      </w:r>
    </w:p>
    <w:p w14:paraId="119FC811">
      <w:pPr>
        <w:widowControl/>
        <w:spacing w:line="360" w:lineRule="auto"/>
        <w:ind w:firstLine="480" w:firstLineChars="200"/>
        <w:outlineLvl w:val="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仪器纤维长度整齐度示值结果的平均值与标准棉花样品标准值之差。</w:t>
      </w:r>
    </w:p>
    <w:p w14:paraId="5D2137FF">
      <w:pPr>
        <w:widowControl/>
        <w:spacing w:line="360" w:lineRule="auto"/>
        <w:outlineLvl w:val="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5.6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lang w:val="en-US" w:eastAsia="zh-CN"/>
        </w:rPr>
        <w:t>断裂比强度示值误差</w:t>
      </w:r>
    </w:p>
    <w:p w14:paraId="3511D4B8">
      <w:pPr>
        <w:widowControl/>
        <w:spacing w:line="360" w:lineRule="auto"/>
        <w:ind w:firstLine="480" w:firstLineChars="200"/>
        <w:outlineLvl w:val="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仪器断裂比强度示值结果的平均值与标准棉花样品标准值之差。</w:t>
      </w:r>
    </w:p>
    <w:p w14:paraId="7E04C9F0">
      <w:pPr>
        <w:widowControl/>
        <w:spacing w:line="360" w:lineRule="auto"/>
        <w:outlineLvl w:val="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5.7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lang w:val="en-US" w:eastAsia="zh-CN"/>
        </w:rPr>
        <w:t>马克隆值示值误差</w:t>
      </w:r>
    </w:p>
    <w:p w14:paraId="6F67253B">
      <w:pPr>
        <w:widowControl/>
        <w:spacing w:line="360" w:lineRule="auto"/>
        <w:ind w:firstLine="480" w:firstLineChars="200"/>
        <w:outlineLvl w:val="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仪器马克隆测量值结果的平均值与标准棉花样品标准值之差。</w:t>
      </w:r>
    </w:p>
    <w:p w14:paraId="603A34EB">
      <w:pPr>
        <w:pStyle w:val="49"/>
        <w:spacing w:line="360" w:lineRule="auto"/>
        <w:jc w:val="left"/>
        <w:rPr>
          <w:rFonts w:hAnsi="Times New Roman"/>
          <w:b w:val="0"/>
        </w:rPr>
      </w:pPr>
      <w:bookmarkStart w:id="18" w:name="_Toc5519"/>
      <w:bookmarkStart w:id="19" w:name="_Toc350158470"/>
      <w:bookmarkStart w:id="20" w:name="_Toc7072"/>
      <w:r>
        <w:rPr>
          <w:rFonts w:hint="eastAsia" w:hAnsi="Times New Roman"/>
          <w:b w:val="0"/>
        </w:rPr>
        <w:t xml:space="preserve">6  </w:t>
      </w:r>
      <w:r>
        <w:rPr>
          <w:rFonts w:hAnsi="Times New Roman"/>
          <w:b w:val="0"/>
        </w:rPr>
        <w:t>校准条件</w:t>
      </w:r>
      <w:bookmarkEnd w:id="18"/>
      <w:bookmarkEnd w:id="19"/>
      <w:bookmarkEnd w:id="20"/>
    </w:p>
    <w:p w14:paraId="47462BF3">
      <w:pPr>
        <w:spacing w:line="360" w:lineRule="auto"/>
        <w:outlineLvl w:val="0"/>
        <w:rPr>
          <w:rFonts w:hint="eastAsia" w:ascii="宋体" w:hAnsi="宋体" w:cs="宋体"/>
          <w:kern w:val="0"/>
          <w:sz w:val="24"/>
        </w:rPr>
      </w:pPr>
      <w:bookmarkStart w:id="21" w:name="_Toc350158471"/>
      <w:bookmarkStart w:id="22" w:name="_Toc28357"/>
      <w:bookmarkStart w:id="23" w:name="_Toc21820"/>
      <w:r>
        <w:rPr>
          <w:rFonts w:hint="eastAsia" w:ascii="宋体" w:hAnsi="宋体" w:eastAsia="宋体"/>
          <w:sz w:val="24"/>
        </w:rPr>
        <w:t>6</w:t>
      </w:r>
      <w:r>
        <w:rPr>
          <w:rFonts w:ascii="宋体" w:hAnsi="宋体" w:eastAsia="宋体"/>
          <w:sz w:val="24"/>
        </w:rPr>
        <w:t>.</w:t>
      </w:r>
      <w:r>
        <w:rPr>
          <w:rFonts w:hint="eastAsia" w:ascii="宋体" w:hAnsi="宋体" w:eastAsia="宋体"/>
          <w:sz w:val="24"/>
        </w:rPr>
        <w:t>1</w:t>
      </w:r>
      <w:bookmarkEnd w:id="21"/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环境条件</w:t>
      </w:r>
    </w:p>
    <w:p w14:paraId="49E75C7B">
      <w:pPr>
        <w:spacing w:line="360" w:lineRule="auto"/>
        <w:outlineLvl w:val="0"/>
        <w:rPr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6.1.1 </w:t>
      </w:r>
      <w:r>
        <w:rPr>
          <w:rFonts w:hint="eastAsia" w:ascii="宋体" w:hAnsi="宋体" w:cs="宋体"/>
          <w:kern w:val="0"/>
          <w:sz w:val="24"/>
        </w:rPr>
        <w:t>温度（20±2）℃、相对湿度（65±3）%</w:t>
      </w:r>
      <w:bookmarkEnd w:id="22"/>
      <w:bookmarkEnd w:id="23"/>
    </w:p>
    <w:p w14:paraId="214F57AD">
      <w:pPr>
        <w:spacing w:line="360" w:lineRule="auto"/>
        <w:outlineLvl w:val="0"/>
        <w:rPr>
          <w:rFonts w:hAnsi="宋体"/>
          <w:sz w:val="24"/>
        </w:rPr>
      </w:pPr>
      <w:bookmarkStart w:id="24" w:name="_Toc350158472"/>
      <w:bookmarkStart w:id="25" w:name="_Toc2885"/>
      <w:bookmarkStart w:id="26" w:name="_Toc27385"/>
      <w:r>
        <w:rPr>
          <w:rFonts w:hint="eastAsia" w:ascii="宋体" w:hAnsi="宋体" w:eastAsia="宋体"/>
          <w:sz w:val="24"/>
        </w:rPr>
        <w:t>6</w:t>
      </w:r>
      <w:r>
        <w:rPr>
          <w:rFonts w:ascii="宋体" w:hAnsi="宋体" w:eastAsia="宋体"/>
          <w:sz w:val="24"/>
        </w:rPr>
        <w:t>.</w:t>
      </w:r>
      <w:bookmarkEnd w:id="24"/>
      <w:r>
        <w:rPr>
          <w:rFonts w:hint="eastAsia" w:ascii="宋体" w:hAnsi="宋体"/>
          <w:sz w:val="24"/>
          <w:lang w:val="en-US" w:eastAsia="zh-CN"/>
        </w:rPr>
        <w:t xml:space="preserve">1.2 </w:t>
      </w:r>
      <w:r>
        <w:rPr>
          <w:rFonts w:hint="eastAsia" w:ascii="Arial" w:hAnsi="Arial" w:cs="Arial"/>
          <w:color w:val="000000"/>
          <w:sz w:val="24"/>
        </w:rPr>
        <w:t>供电电源：</w:t>
      </w:r>
      <w:r>
        <w:rPr>
          <w:color w:val="000000"/>
          <w:sz w:val="24"/>
        </w:rPr>
        <w:t>AC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220</w:t>
      </w:r>
      <w:r>
        <w:rPr>
          <w:rFonts w:eastAsia="宋体"/>
          <w:color w:val="000000"/>
          <w:sz w:val="24"/>
        </w:rPr>
        <w:t>±</w:t>
      </w:r>
      <w:r>
        <w:rPr>
          <w:color w:val="000000"/>
          <w:sz w:val="24"/>
        </w:rPr>
        <w:t>33</w:t>
      </w:r>
      <w:r>
        <w:rPr>
          <w:rFonts w:hint="eastAsia"/>
          <w:color w:val="000000"/>
          <w:sz w:val="24"/>
        </w:rPr>
        <w:t>）</w:t>
      </w:r>
      <w:r>
        <w:rPr>
          <w:color w:val="000000"/>
          <w:sz w:val="24"/>
        </w:rPr>
        <w:t>V</w:t>
      </w:r>
      <w:r>
        <w:rPr>
          <w:rFonts w:hAnsi="宋体"/>
          <w:color w:val="000000"/>
          <w:sz w:val="24"/>
        </w:rPr>
        <w:t>，</w:t>
      </w:r>
      <w:r>
        <w:rPr>
          <w:rFonts w:hint="eastAsia" w:hAnsi="宋体"/>
          <w:color w:val="000000"/>
          <w:sz w:val="24"/>
        </w:rPr>
        <w:t>频率</w:t>
      </w:r>
      <w:r>
        <w:rPr>
          <w:rFonts w:hAnsi="宋体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50～60</w:t>
      </w:r>
      <w:r>
        <w:rPr>
          <w:color w:val="000000"/>
          <w:sz w:val="24"/>
        </w:rPr>
        <w:t>）Hz</w:t>
      </w:r>
      <w:r>
        <w:rPr>
          <w:rFonts w:hint="eastAsia"/>
          <w:color w:val="000000"/>
          <w:sz w:val="24"/>
        </w:rPr>
        <w:t>。应</w:t>
      </w:r>
      <w:r>
        <w:rPr>
          <w:rFonts w:hint="eastAsia" w:ascii="宋体" w:hAnsi="宋体" w:cs="宋体"/>
          <w:kern w:val="0"/>
          <w:sz w:val="24"/>
        </w:rPr>
        <w:t>配备大电流断路器、不间断电源容量、压缩空气，使仪器保持正常工作。</w:t>
      </w:r>
      <w:bookmarkEnd w:id="25"/>
      <w:bookmarkEnd w:id="26"/>
    </w:p>
    <w:p w14:paraId="64F4AEFA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eastAsia="宋体"/>
          <w:sz w:val="24"/>
        </w:rPr>
        <w:t>6.</w:t>
      </w:r>
      <w:r>
        <w:rPr>
          <w:rFonts w:hint="eastAsia" w:ascii="宋体" w:hAnsi="宋体"/>
          <w:sz w:val="24"/>
          <w:lang w:val="en-US" w:eastAsia="zh-CN"/>
        </w:rPr>
        <w:t xml:space="preserve">1.3 </w:t>
      </w:r>
      <w:r>
        <w:rPr>
          <w:rFonts w:hint="eastAsia" w:ascii="宋体" w:hAnsi="宋体" w:cs="宋体"/>
          <w:kern w:val="0"/>
          <w:sz w:val="24"/>
        </w:rPr>
        <w:t>仪器校准前需预热时间</w:t>
      </w:r>
      <w:r>
        <w:rPr>
          <w:rFonts w:hint="eastAsia"/>
          <w:sz w:val="24"/>
        </w:rPr>
        <w:t>按仪器说明书要求进行操作</w:t>
      </w:r>
      <w:r>
        <w:rPr>
          <w:rFonts w:hint="eastAsia" w:ascii="宋体" w:hAnsi="宋体" w:cs="宋体"/>
          <w:kern w:val="0"/>
          <w:sz w:val="24"/>
        </w:rPr>
        <w:t>。仪器</w:t>
      </w:r>
      <w:r>
        <w:rPr>
          <w:rFonts w:hint="eastAsia" w:ascii="宋体" w:hAnsi="宋体"/>
          <w:sz w:val="24"/>
          <w:lang w:val="en-GB"/>
        </w:rPr>
        <w:t>的电气设备应安全可靠，电源部分与机座的绝缘电阻≥5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val="en-GB"/>
        </w:rPr>
        <w:t>MΩ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03B6FE7A">
      <w:pPr>
        <w:widowControl/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6.2</w:t>
      </w:r>
      <w:r>
        <w:rPr>
          <w:rFonts w:hint="eastAsia" w:ascii="宋体" w:hAnsi="宋体" w:cs="宋体"/>
          <w:kern w:val="0"/>
          <w:sz w:val="24"/>
        </w:rPr>
        <w:t xml:space="preserve"> 测量标准及其他设备</w:t>
      </w:r>
    </w:p>
    <w:p w14:paraId="0BAA5859">
      <w:pPr>
        <w:widowControl/>
        <w:spacing w:line="360" w:lineRule="auto"/>
        <w:ind w:firstLine="480" w:firstLineChars="200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测量标准及其他设备见表1</w:t>
      </w:r>
    </w:p>
    <w:p w14:paraId="489914B4">
      <w:pPr>
        <w:pStyle w:val="36"/>
        <w:spacing w:line="360" w:lineRule="auto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lang w:val="en-US" w:eastAsia="zh-CN"/>
        </w:rPr>
        <w:t>1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 xml:space="preserve">  </w:t>
      </w:r>
      <w:r>
        <w:rPr>
          <w:rFonts w:hint="eastAsia" w:ascii="黑体" w:eastAsia="黑体"/>
          <w:lang w:val="en-US" w:eastAsia="zh-CN"/>
        </w:rPr>
        <w:t>测量标准及其他设备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8"/>
        <w:gridCol w:w="6237"/>
      </w:tblGrid>
      <w:tr w14:paraId="69ED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8" w:type="dxa"/>
            <w:noWrap w:val="0"/>
            <w:vAlign w:val="top"/>
          </w:tcPr>
          <w:p w14:paraId="13F8EABE">
            <w:pPr>
              <w:widowControl/>
              <w:spacing w:line="360" w:lineRule="auto"/>
              <w:jc w:val="center"/>
              <w:rPr>
                <w:rFonts w:hint="eastAsia" w:eastAsia="宋体" w:cs="宋体"/>
                <w:b/>
                <w:sz w:val="24"/>
                <w:highlight w:val="none"/>
                <w:lang w:eastAsia="zh-CN"/>
              </w:rPr>
            </w:pPr>
            <w:bookmarkStart w:id="27" w:name="_Toc350158474"/>
            <w:bookmarkStart w:id="28" w:name="_Toc353651465"/>
            <w:r>
              <w:rPr>
                <w:rFonts w:hint="eastAsia" w:cs="宋体"/>
                <w:b/>
                <w:sz w:val="24"/>
                <w:highlight w:val="none"/>
              </w:rPr>
              <w:t>校准项目</w:t>
            </w:r>
          </w:p>
        </w:tc>
        <w:tc>
          <w:tcPr>
            <w:tcW w:w="6237" w:type="dxa"/>
            <w:noWrap w:val="0"/>
            <w:vAlign w:val="top"/>
          </w:tcPr>
          <w:p w14:paraId="23B8B149">
            <w:pPr>
              <w:widowControl/>
              <w:spacing w:line="360" w:lineRule="auto"/>
              <w:jc w:val="center"/>
              <w:rPr>
                <w:rFonts w:cs="宋体"/>
                <w:b/>
                <w:sz w:val="24"/>
                <w:highlight w:val="none"/>
              </w:rPr>
            </w:pPr>
            <w:r>
              <w:rPr>
                <w:rFonts w:hint="eastAsia" w:cs="宋体"/>
                <w:b/>
                <w:sz w:val="24"/>
                <w:highlight w:val="none"/>
                <w:lang w:val="en-US" w:eastAsia="zh-CN"/>
              </w:rPr>
              <w:t>测量标准和</w:t>
            </w:r>
            <w:r>
              <w:rPr>
                <w:rFonts w:hint="eastAsia" w:cs="宋体"/>
                <w:b/>
                <w:sz w:val="24"/>
                <w:highlight w:val="none"/>
              </w:rPr>
              <w:t>技术要求</w:t>
            </w:r>
          </w:p>
        </w:tc>
      </w:tr>
      <w:tr w14:paraId="5D0BB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638" w:type="dxa"/>
            <w:noWrap w:val="0"/>
            <w:vAlign w:val="center"/>
          </w:tcPr>
          <w:p w14:paraId="70053B84">
            <w:pPr>
              <w:widowControl/>
              <w:spacing w:line="36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棉花反射率示值误差</w:t>
            </w:r>
          </w:p>
        </w:tc>
        <w:tc>
          <w:tcPr>
            <w:tcW w:w="6237" w:type="dxa"/>
            <w:noWrap w:val="0"/>
            <w:vAlign w:val="center"/>
          </w:tcPr>
          <w:p w14:paraId="223E3C44">
            <w:pPr>
              <w:widowControl/>
              <w:spacing w:line="360" w:lineRule="exact"/>
              <w:jc w:val="center"/>
              <w:rPr>
                <w:rFonts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标准色度板</w:t>
            </w:r>
            <w:r>
              <w:rPr>
                <w:rFonts w:hint="eastAsia" w:cs="宋体"/>
                <w:szCs w:val="21"/>
                <w:highlight w:val="none"/>
                <w:lang w:eastAsia="zh-CN"/>
              </w:rPr>
              <w:t>；</w:t>
            </w:r>
            <w:r>
              <w:rPr>
                <w:rFonts w:cs="宋体"/>
                <w:szCs w:val="21"/>
                <w:highlight w:val="none"/>
              </w:rPr>
              <w:t>MPE</w:t>
            </w:r>
            <w:r>
              <w:rPr>
                <w:rFonts w:hint="eastAsia" w:cs="宋体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±</w:t>
            </w:r>
            <w:r>
              <w:rPr>
                <w:rFonts w:cs="宋体"/>
                <w:szCs w:val="21"/>
                <w:highlight w:val="none"/>
              </w:rPr>
              <w:t>0.2</w:t>
            </w:r>
          </w:p>
        </w:tc>
      </w:tr>
      <w:tr w14:paraId="3E3C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638" w:type="dxa"/>
            <w:noWrap w:val="0"/>
            <w:vAlign w:val="center"/>
          </w:tcPr>
          <w:p w14:paraId="6C704666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zCs w:val="21"/>
                <w:highlight w:val="none"/>
              </w:rPr>
              <w:t>棉花</w:t>
            </w:r>
            <w:r>
              <w:rPr>
                <w:rFonts w:hint="eastAsia" w:cs="宋体"/>
                <w:szCs w:val="21"/>
                <w:highlight w:val="none"/>
                <w:lang w:eastAsia="zh-CN"/>
              </w:rPr>
              <w:t>黄色深度</w:t>
            </w:r>
            <w:r>
              <w:rPr>
                <w:rFonts w:hint="eastAsia" w:cs="宋体"/>
                <w:szCs w:val="21"/>
                <w:highlight w:val="none"/>
              </w:rPr>
              <w:t>示值误差</w:t>
            </w:r>
          </w:p>
        </w:tc>
        <w:tc>
          <w:tcPr>
            <w:tcW w:w="6237" w:type="dxa"/>
            <w:noWrap w:val="0"/>
            <w:vAlign w:val="center"/>
          </w:tcPr>
          <w:p w14:paraId="31850647">
            <w:pPr>
              <w:widowControl/>
              <w:spacing w:line="360" w:lineRule="exact"/>
              <w:jc w:val="center"/>
              <w:rPr>
                <w:rFonts w:ascii="Times New Roman" w:hAnsi="Times New Roman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zCs w:val="21"/>
                <w:highlight w:val="none"/>
              </w:rPr>
              <w:t>标准色度板</w:t>
            </w:r>
            <w:r>
              <w:rPr>
                <w:rFonts w:hint="eastAsia" w:cs="宋体"/>
                <w:szCs w:val="21"/>
                <w:highlight w:val="none"/>
                <w:lang w:eastAsia="zh-CN"/>
              </w:rPr>
              <w:t>；</w:t>
            </w:r>
            <w:r>
              <w:rPr>
                <w:rFonts w:cs="宋体"/>
                <w:szCs w:val="21"/>
                <w:highlight w:val="none"/>
              </w:rPr>
              <w:t>MPE</w:t>
            </w:r>
            <w:r>
              <w:rPr>
                <w:rFonts w:hint="eastAsia" w:cs="宋体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±</w:t>
            </w:r>
            <w:r>
              <w:rPr>
                <w:rFonts w:cs="宋体"/>
                <w:szCs w:val="21"/>
                <w:highlight w:val="none"/>
              </w:rPr>
              <w:t>0.2</w:t>
            </w:r>
          </w:p>
        </w:tc>
      </w:tr>
    </w:tbl>
    <w:p w14:paraId="1029F1F0">
      <w:pPr>
        <w:widowControl/>
        <w:spacing w:line="360" w:lineRule="auto"/>
        <w:outlineLvl w:val="0"/>
        <w:rPr>
          <w:rFonts w:hint="eastAsia"/>
          <w:lang w:val="en-US" w:eastAsia="zh-CN"/>
        </w:rPr>
      </w:pPr>
      <w:bookmarkStart w:id="29" w:name="_Toc26664"/>
    </w:p>
    <w:p w14:paraId="1AC50C45">
      <w:pPr>
        <w:jc w:val="center"/>
        <w:rPr>
          <w:rFonts w:hint="eastAsia" w:ascii="黑体" w:hAnsi="黑体" w:eastAsia="黑体" w:cs="黑体"/>
          <w:szCs w:val="21"/>
        </w:rPr>
      </w:pPr>
    </w:p>
    <w:p w14:paraId="1B67A66E">
      <w:pPr>
        <w:jc w:val="center"/>
        <w:rPr>
          <w:rFonts w:ascii="黑体" w:hAnsi="黑体" w:eastAsia="黑体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szCs w:val="21"/>
        </w:rPr>
        <w:t xml:space="preserve"> (续)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8"/>
        <w:gridCol w:w="6237"/>
      </w:tblGrid>
      <w:tr w14:paraId="75F25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638" w:type="dxa"/>
            <w:noWrap w:val="0"/>
            <w:vAlign w:val="center"/>
          </w:tcPr>
          <w:p w14:paraId="74945584">
            <w:pPr>
              <w:widowControl/>
              <w:spacing w:line="360" w:lineRule="exact"/>
              <w:jc w:val="center"/>
              <w:rPr>
                <w:rFonts w:hint="eastAsia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Cs w:val="21"/>
                <w:highlight w:val="none"/>
                <w:lang w:eastAsia="zh-CN"/>
              </w:rPr>
              <w:t>平均长度测量重复性</w:t>
            </w:r>
          </w:p>
        </w:tc>
        <w:tc>
          <w:tcPr>
            <w:tcW w:w="6237" w:type="dxa"/>
            <w:noWrap w:val="0"/>
            <w:vAlign w:val="center"/>
          </w:tcPr>
          <w:p w14:paraId="01430189">
            <w:pPr>
              <w:widowControl/>
              <w:spacing w:line="360" w:lineRule="exact"/>
              <w:jc w:val="center"/>
              <w:rPr>
                <w:rFonts w:hint="eastAsia" w:cs="宋体"/>
                <w:szCs w:val="21"/>
                <w:highlight w:val="none"/>
              </w:rPr>
            </w:pPr>
            <w:r>
              <w:rPr>
                <w:rFonts w:hint="eastAsia" w:cs="宋体"/>
                <w:szCs w:val="21"/>
                <w:highlight w:val="none"/>
              </w:rPr>
              <w:t>国家校准棉花标准样品</w:t>
            </w:r>
            <w:r>
              <w:rPr>
                <w:rFonts w:hint="eastAsia" w:cs="宋体"/>
                <w:szCs w:val="21"/>
                <w:highlight w:val="none"/>
                <w:lang w:eastAsia="zh-CN"/>
              </w:rPr>
              <w:t>；</w:t>
            </w:r>
            <w:r>
              <w:rPr>
                <w:rFonts w:cs="宋体"/>
                <w:szCs w:val="21"/>
                <w:highlight w:val="none"/>
              </w:rPr>
              <w:t>MPE</w:t>
            </w:r>
            <w:r>
              <w:rPr>
                <w:rFonts w:hint="eastAsia" w:cs="宋体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±</w:t>
            </w:r>
            <w:r>
              <w:rPr>
                <w:rFonts w:cs="宋体"/>
                <w:szCs w:val="21"/>
                <w:highlight w:val="none"/>
              </w:rPr>
              <w:t>0.</w:t>
            </w:r>
            <w:r>
              <w:rPr>
                <w:rFonts w:hint="eastAsia" w:cs="宋体"/>
                <w:szCs w:val="21"/>
                <w:highlight w:val="none"/>
              </w:rPr>
              <w:t>3</w:t>
            </w:r>
            <w:r>
              <w:rPr>
                <w:rFonts w:hint="eastAsia" w:cs="宋体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cs="宋体"/>
                <w:szCs w:val="21"/>
                <w:highlight w:val="none"/>
              </w:rPr>
              <w:t>mm</w:t>
            </w:r>
          </w:p>
        </w:tc>
      </w:tr>
      <w:tr w14:paraId="65F2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638" w:type="dxa"/>
            <w:noWrap w:val="0"/>
            <w:vAlign w:val="center"/>
          </w:tcPr>
          <w:p w14:paraId="24D1B73A">
            <w:pPr>
              <w:widowControl/>
              <w:spacing w:line="360" w:lineRule="exact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纤维平均长度示值误差</w:t>
            </w:r>
          </w:p>
        </w:tc>
        <w:tc>
          <w:tcPr>
            <w:tcW w:w="6237" w:type="dxa"/>
            <w:noWrap w:val="0"/>
            <w:vAlign w:val="center"/>
          </w:tcPr>
          <w:p w14:paraId="02060CD9">
            <w:pPr>
              <w:widowControl/>
              <w:spacing w:line="360" w:lineRule="exact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国家校准棉花标准样品</w:t>
            </w:r>
            <w:r>
              <w:rPr>
                <w:rFonts w:hint="eastAsia" w:cs="宋体"/>
                <w:szCs w:val="21"/>
                <w:lang w:eastAsia="zh-CN"/>
              </w:rPr>
              <w:t>；</w:t>
            </w:r>
            <w:r>
              <w:rPr>
                <w:rFonts w:cs="宋体"/>
                <w:szCs w:val="21"/>
              </w:rPr>
              <w:t>MPE</w:t>
            </w:r>
            <w:r>
              <w:rPr>
                <w:rFonts w:hint="eastAsia" w:cs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szCs w:val="21"/>
              </w:rPr>
              <w:t>±</w:t>
            </w:r>
            <w:r>
              <w:rPr>
                <w:rFonts w:cs="宋体"/>
                <w:szCs w:val="21"/>
              </w:rPr>
              <w:t>0.</w:t>
            </w:r>
            <w:r>
              <w:rPr>
                <w:rFonts w:hint="eastAsia" w:cs="宋体"/>
                <w:szCs w:val="21"/>
              </w:rPr>
              <w:t>3</w:t>
            </w:r>
            <w:r>
              <w:rPr>
                <w:rFonts w:hint="eastAsia" w:cs="宋体"/>
                <w:szCs w:val="21"/>
                <w:lang w:val="en-US" w:eastAsia="zh-CN"/>
              </w:rPr>
              <w:t xml:space="preserve"> </w:t>
            </w:r>
            <w:r>
              <w:rPr>
                <w:rFonts w:cs="宋体"/>
                <w:szCs w:val="21"/>
              </w:rPr>
              <w:t>mm</w:t>
            </w:r>
          </w:p>
        </w:tc>
      </w:tr>
      <w:tr w14:paraId="74850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638" w:type="dxa"/>
            <w:noWrap w:val="0"/>
            <w:vAlign w:val="center"/>
          </w:tcPr>
          <w:p w14:paraId="1369847B">
            <w:pPr>
              <w:widowControl/>
              <w:spacing w:line="360" w:lineRule="exact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长度整齐度</w:t>
            </w:r>
            <w:r>
              <w:rPr>
                <w:rFonts w:hint="eastAsia" w:cs="宋体"/>
                <w:szCs w:val="21"/>
                <w:lang w:eastAsia="zh-CN"/>
              </w:rPr>
              <w:t>指数</w:t>
            </w:r>
            <w:r>
              <w:rPr>
                <w:rFonts w:hint="eastAsia" w:cs="宋体"/>
                <w:szCs w:val="21"/>
              </w:rPr>
              <w:t>示值误差</w:t>
            </w:r>
          </w:p>
        </w:tc>
        <w:tc>
          <w:tcPr>
            <w:tcW w:w="6237" w:type="dxa"/>
            <w:noWrap w:val="0"/>
            <w:vAlign w:val="center"/>
          </w:tcPr>
          <w:p w14:paraId="3E755749">
            <w:pPr>
              <w:widowControl/>
              <w:spacing w:line="360" w:lineRule="exact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国家校准棉花标准样品</w:t>
            </w:r>
            <w:r>
              <w:rPr>
                <w:rFonts w:hint="eastAsia" w:cs="宋体"/>
                <w:szCs w:val="21"/>
                <w:lang w:eastAsia="zh-CN"/>
              </w:rPr>
              <w:t>；</w:t>
            </w:r>
            <w:r>
              <w:rPr>
                <w:rFonts w:cs="宋体"/>
                <w:szCs w:val="21"/>
              </w:rPr>
              <w:t>MPE</w:t>
            </w:r>
            <w:r>
              <w:rPr>
                <w:rFonts w:hint="eastAsia" w:cs="宋体"/>
                <w:szCs w:val="21"/>
                <w:lang w:eastAsia="zh-CN"/>
              </w:rPr>
              <w:t>：</w:t>
            </w:r>
            <w:r>
              <w:rPr>
                <w:rFonts w:hint="eastAsia" w:cs="宋体"/>
                <w:szCs w:val="21"/>
              </w:rPr>
              <w:t>±0.7%</w:t>
            </w:r>
          </w:p>
        </w:tc>
      </w:tr>
      <w:tr w14:paraId="250C8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638" w:type="dxa"/>
            <w:noWrap w:val="0"/>
            <w:vAlign w:val="center"/>
          </w:tcPr>
          <w:p w14:paraId="4812C52F"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>断裂比强度示值误差</w:t>
            </w:r>
          </w:p>
        </w:tc>
        <w:tc>
          <w:tcPr>
            <w:tcW w:w="6237" w:type="dxa"/>
            <w:noWrap w:val="0"/>
            <w:vAlign w:val="center"/>
          </w:tcPr>
          <w:p w14:paraId="5DCCDE68">
            <w:pPr>
              <w:widowControl/>
              <w:spacing w:line="360" w:lineRule="exact"/>
              <w:jc w:val="center"/>
              <w:rPr>
                <w:rFonts w:ascii="Times New Roman" w:hAnsi="Times New Roman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Cs w:val="21"/>
              </w:rPr>
              <w:t>国家校准棉花标准样品</w:t>
            </w:r>
            <w:r>
              <w:rPr>
                <w:rFonts w:hint="eastAsia" w:cs="宋体"/>
                <w:szCs w:val="21"/>
                <w:lang w:eastAsia="zh-CN"/>
              </w:rPr>
              <w:t>；</w:t>
            </w:r>
            <w:r>
              <w:rPr>
                <w:rFonts w:cs="宋体"/>
                <w:szCs w:val="21"/>
              </w:rPr>
              <w:t>MPE</w:t>
            </w:r>
            <w:r>
              <w:rPr>
                <w:rFonts w:hint="eastAsia" w:cs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GB"/>
              </w:rPr>
              <w:t>±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cN</w:t>
            </w:r>
            <w:r>
              <w:rPr>
                <w:rFonts w:hint="eastAsia" w:ascii="宋体" w:hAnsi="宋体"/>
                <w:szCs w:val="21"/>
                <w:lang w:val="en-GB"/>
              </w:rPr>
              <w:t>/tex</w:t>
            </w:r>
          </w:p>
        </w:tc>
      </w:tr>
      <w:tr w14:paraId="29A92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638" w:type="dxa"/>
            <w:noWrap w:val="0"/>
            <w:vAlign w:val="center"/>
          </w:tcPr>
          <w:p w14:paraId="65F978EA">
            <w:pPr>
              <w:widowControl/>
              <w:spacing w:line="360" w:lineRule="exact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马克隆值示值误差</w:t>
            </w:r>
          </w:p>
        </w:tc>
        <w:tc>
          <w:tcPr>
            <w:tcW w:w="6237" w:type="dxa"/>
            <w:noWrap w:val="0"/>
            <w:vAlign w:val="center"/>
          </w:tcPr>
          <w:p w14:paraId="4750DE78">
            <w:pPr>
              <w:widowControl/>
              <w:spacing w:line="360" w:lineRule="exact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国家校准棉花标准样品</w:t>
            </w:r>
            <w:r>
              <w:rPr>
                <w:rFonts w:hint="eastAsia" w:cs="宋体"/>
                <w:szCs w:val="21"/>
                <w:lang w:eastAsia="zh-CN"/>
              </w:rPr>
              <w:t>；</w:t>
            </w:r>
            <w:r>
              <w:rPr>
                <w:rFonts w:hint="eastAsia" w:cs="宋体"/>
                <w:szCs w:val="21"/>
              </w:rPr>
              <w:t>MPE</w:t>
            </w:r>
            <w:r>
              <w:rPr>
                <w:rFonts w:hint="eastAsia" w:cs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GB"/>
              </w:rPr>
              <w:t>±</w:t>
            </w:r>
            <w:r>
              <w:rPr>
                <w:rFonts w:cs="宋体"/>
                <w:szCs w:val="21"/>
              </w:rPr>
              <w:t>0.</w:t>
            </w:r>
            <w:r>
              <w:rPr>
                <w:rFonts w:hint="eastAsia" w:cs="宋体"/>
                <w:szCs w:val="21"/>
              </w:rPr>
              <w:t>07</w:t>
            </w:r>
          </w:p>
        </w:tc>
      </w:tr>
    </w:tbl>
    <w:p w14:paraId="290254EF">
      <w:pPr>
        <w:pStyle w:val="49"/>
        <w:spacing w:line="360" w:lineRule="auto"/>
        <w:jc w:val="left"/>
        <w:rPr>
          <w:rFonts w:hint="eastAsia" w:hAnsi="Times New Roman" w:eastAsia="黑体"/>
          <w:b w:val="0"/>
          <w:lang w:val="en-US" w:eastAsia="zh-CN"/>
        </w:rPr>
      </w:pPr>
      <w:bookmarkStart w:id="30" w:name="校准项目和校准方法"/>
      <w:r>
        <w:rPr>
          <w:rFonts w:hint="eastAsia" w:hAnsi="Times New Roman"/>
          <w:b w:val="0"/>
        </w:rPr>
        <w:t xml:space="preserve">7  </w:t>
      </w:r>
      <w:bookmarkEnd w:id="27"/>
      <w:bookmarkEnd w:id="28"/>
      <w:bookmarkStart w:id="31" w:name="_Toc350158482"/>
      <w:r>
        <w:rPr>
          <w:rFonts w:hint="eastAsia" w:hAnsi="Times New Roman"/>
          <w:b w:val="0"/>
          <w:lang w:val="en-US" w:eastAsia="zh-CN"/>
        </w:rPr>
        <w:t>校准</w:t>
      </w:r>
      <w:r>
        <w:rPr>
          <w:rFonts w:hint="eastAsia" w:hAnsi="Times New Roman"/>
          <w:b w:val="0"/>
        </w:rPr>
        <w:t>项目</w:t>
      </w:r>
      <w:bookmarkEnd w:id="29"/>
      <w:r>
        <w:rPr>
          <w:rFonts w:hint="eastAsia" w:hAnsi="Times New Roman"/>
          <w:b w:val="0"/>
          <w:lang w:eastAsia="zh-CN"/>
        </w:rPr>
        <w:t>和校准方法</w:t>
      </w:r>
    </w:p>
    <w:bookmarkEnd w:id="30"/>
    <w:p w14:paraId="43CA5203">
      <w:pPr>
        <w:spacing w:line="360" w:lineRule="auto"/>
        <w:outlineLvl w:val="0"/>
        <w:rPr>
          <w:rFonts w:ascii="宋体" w:hAnsi="宋体" w:cs="宋体"/>
          <w:kern w:val="0"/>
          <w:sz w:val="24"/>
        </w:rPr>
      </w:pPr>
      <w:bookmarkStart w:id="32" w:name="_Toc24612"/>
      <w:bookmarkStart w:id="33" w:name="_Toc7624"/>
      <w:r>
        <w:rPr>
          <w:rFonts w:hint="eastAsia" w:ascii="宋体" w:hAnsi="宋体" w:cs="宋体"/>
          <w:kern w:val="0"/>
          <w:sz w:val="24"/>
        </w:rPr>
        <w:t>7.1</w:t>
      </w:r>
      <w:bookmarkEnd w:id="32"/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</w:t>
      </w:r>
      <w:bookmarkStart w:id="34" w:name="校准前工作"/>
      <w:r>
        <w:rPr>
          <w:rFonts w:hint="eastAsia" w:ascii="宋体" w:hAnsi="宋体" w:cs="宋体"/>
          <w:kern w:val="0"/>
          <w:sz w:val="24"/>
        </w:rPr>
        <w:t>校准前工作</w:t>
      </w:r>
      <w:bookmarkEnd w:id="33"/>
      <w:bookmarkEnd w:id="34"/>
    </w:p>
    <w:p w14:paraId="6C6117A9">
      <w:pPr>
        <w:spacing w:line="360" w:lineRule="auto"/>
        <w:outlineLvl w:val="0"/>
        <w:rPr>
          <w:rFonts w:ascii="宋体" w:hAnsi="宋体" w:cs="宋体"/>
          <w:kern w:val="0"/>
          <w:sz w:val="24"/>
        </w:rPr>
      </w:pPr>
      <w:bookmarkStart w:id="35" w:name="_Toc11708"/>
      <w:bookmarkStart w:id="36" w:name="_Toc32627"/>
      <w:r>
        <w:rPr>
          <w:rFonts w:hint="eastAsia" w:ascii="宋体" w:hAnsi="宋体" w:cs="宋体"/>
          <w:kern w:val="0"/>
          <w:sz w:val="24"/>
        </w:rPr>
        <w:t>7.1.1  大容量纤维测试仪应放置在环境清洁，无明显震动、无腐蚀性介质的环境中。</w:t>
      </w:r>
      <w:bookmarkEnd w:id="35"/>
      <w:bookmarkEnd w:id="36"/>
    </w:p>
    <w:p w14:paraId="7466BA5C">
      <w:pPr>
        <w:spacing w:line="360" w:lineRule="auto"/>
        <w:outlineLvl w:val="0"/>
        <w:rPr>
          <w:rFonts w:ascii="宋体" w:hAnsi="宋体" w:cs="宋体"/>
          <w:kern w:val="0"/>
          <w:sz w:val="24"/>
        </w:rPr>
      </w:pPr>
      <w:bookmarkStart w:id="37" w:name="_Toc32578"/>
      <w:bookmarkStart w:id="38" w:name="_Toc27224"/>
      <w:r>
        <w:rPr>
          <w:rFonts w:hint="eastAsia" w:ascii="宋体" w:hAnsi="宋体" w:cs="宋体"/>
          <w:kern w:val="0"/>
          <w:sz w:val="24"/>
        </w:rPr>
        <w:t xml:space="preserve">7.1.2  </w:t>
      </w:r>
      <w:bookmarkEnd w:id="37"/>
      <w:r>
        <w:rPr>
          <w:rFonts w:hint="eastAsia" w:ascii="宋体" w:hAnsi="宋体" w:cs="宋体"/>
          <w:kern w:val="0"/>
          <w:sz w:val="24"/>
        </w:rPr>
        <w:t>仪器</w:t>
      </w:r>
      <w:r>
        <w:rPr>
          <w:rFonts w:hint="eastAsia" w:ascii="宋体" w:hAnsi="宋体" w:cs="宋体"/>
          <w:kern w:val="0"/>
          <w:sz w:val="24"/>
          <w:lang w:val="en-GB"/>
        </w:rPr>
        <w:t>外表不应有影响试验性能的机械损伤，传动部分各润滑系统无缺油现象，仪器各部件运行正常。</w:t>
      </w:r>
      <w:bookmarkEnd w:id="38"/>
    </w:p>
    <w:p w14:paraId="43E43698">
      <w:pPr>
        <w:spacing w:line="360" w:lineRule="auto"/>
        <w:outlineLvl w:val="0"/>
        <w:rPr>
          <w:rFonts w:ascii="宋体" w:hAnsi="宋体" w:cs="宋体"/>
          <w:kern w:val="0"/>
          <w:sz w:val="24"/>
        </w:rPr>
      </w:pPr>
      <w:bookmarkStart w:id="39" w:name="_Toc12468"/>
      <w:bookmarkStart w:id="40" w:name="_Toc12879"/>
      <w:r>
        <w:rPr>
          <w:rFonts w:hint="eastAsia" w:ascii="宋体" w:hAnsi="宋体" w:cs="宋体"/>
          <w:kern w:val="0"/>
          <w:sz w:val="24"/>
        </w:rPr>
        <w:t>7.1.3</w:t>
      </w:r>
      <w:bookmarkEnd w:id="39"/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仪器开机预热后，仪器相关参数按仪器说明书进行操作设置。</w:t>
      </w:r>
      <w:bookmarkEnd w:id="40"/>
    </w:p>
    <w:p w14:paraId="0BD0BCAF">
      <w:pPr>
        <w:spacing w:line="360" w:lineRule="auto"/>
        <w:outlineLvl w:val="0"/>
        <w:rPr>
          <w:rFonts w:ascii="宋体" w:hAnsi="宋体" w:cs="宋体"/>
          <w:kern w:val="0"/>
          <w:sz w:val="24"/>
        </w:rPr>
      </w:pPr>
      <w:bookmarkStart w:id="41" w:name="_Toc22393"/>
      <w:r>
        <w:rPr>
          <w:rFonts w:hint="eastAsia" w:ascii="宋体" w:hAnsi="宋体" w:cs="宋体"/>
          <w:kern w:val="0"/>
          <w:sz w:val="24"/>
        </w:rPr>
        <w:t>7.1.4  校准棉样应该在打开包装的情况下敞置于满足6.1环境条件要求的实验室中，至少放置</w:t>
      </w:r>
      <w:r>
        <w:rPr>
          <w:rFonts w:hint="eastAsia" w:ascii="宋体" w:hAnsi="宋体" w:cs="宋体"/>
          <w:kern w:val="0"/>
          <w:sz w:val="24"/>
          <w:lang w:val="en-US" w:eastAsia="zh-CN"/>
        </w:rPr>
        <w:t>48</w:t>
      </w:r>
      <w:r>
        <w:rPr>
          <w:rFonts w:hint="eastAsia" w:ascii="宋体" w:hAnsi="宋体" w:cs="宋体"/>
          <w:kern w:val="0"/>
          <w:sz w:val="24"/>
        </w:rPr>
        <w:t>小时以保证棉样被完全调湿平衡。</w:t>
      </w:r>
      <w:bookmarkEnd w:id="41"/>
    </w:p>
    <w:p w14:paraId="5FE887BE">
      <w:pPr>
        <w:spacing w:line="360" w:lineRule="auto"/>
        <w:rPr>
          <w:rFonts w:ascii="宋体" w:hAnsi="宋体" w:eastAsia="宋体"/>
          <w:sz w:val="24"/>
        </w:rPr>
      </w:pPr>
      <w:bookmarkStart w:id="42" w:name="_Toc70327724"/>
      <w:bookmarkStart w:id="43" w:name="_Toc25818"/>
      <w:bookmarkStart w:id="44" w:name="_Toc70324018"/>
      <w:bookmarkStart w:id="45" w:name="_Toc30814"/>
      <w:r>
        <w:rPr>
          <w:rFonts w:hint="eastAsia" w:ascii="宋体" w:hAnsi="宋体"/>
          <w:sz w:val="24"/>
          <w:lang w:val="en-US" w:eastAsia="zh-CN"/>
        </w:rPr>
        <w:t xml:space="preserve">7.2  </w:t>
      </w:r>
      <w:r>
        <w:rPr>
          <w:rFonts w:hint="eastAsia" w:ascii="宋体" w:hAnsi="宋体" w:eastAsia="宋体"/>
          <w:sz w:val="24"/>
        </w:rPr>
        <w:t>棉花反射率示值误差</w:t>
      </w:r>
    </w:p>
    <w:p w14:paraId="49AA75CE">
      <w:pPr>
        <w:spacing w:line="360" w:lineRule="auto"/>
        <w:ind w:firstLine="480" w:firstLineChars="200"/>
        <w:rPr>
          <w:rFonts w:ascii="宋体" w:hAnsi="宋体"/>
          <w:sz w:val="24"/>
          <w:highlight w:val="yellow"/>
        </w:rPr>
      </w:pPr>
      <w:r>
        <w:rPr>
          <w:rFonts w:hint="eastAsia" w:ascii="宋体" w:hAnsi="宋体" w:eastAsia="宋体"/>
          <w:sz w:val="24"/>
        </w:rPr>
        <w:t>选定仪器颜色校准程序。</w:t>
      </w:r>
      <w:bookmarkStart w:id="46" w:name="_Toc3642"/>
      <w:r>
        <w:rPr>
          <w:rFonts w:hint="eastAsia" w:ascii="宋体" w:hAnsi="宋体" w:eastAsia="宋体"/>
          <w:sz w:val="24"/>
        </w:rPr>
        <w:t>将标准色度板中一块标准色度板放在检测窗口上，注意工作面方向</w:t>
      </w:r>
      <w:bookmarkEnd w:id="46"/>
      <w:bookmarkStart w:id="47" w:name="_Toc3267"/>
      <w:r>
        <w:rPr>
          <w:rFonts w:hint="eastAsia" w:ascii="宋体" w:hAnsi="宋体" w:eastAsia="宋体"/>
          <w:sz w:val="24"/>
        </w:rPr>
        <w:t>。读取棉花反射率示值</w:t>
      </w:r>
      <w:r>
        <w:rPr>
          <w:position w:val="-4"/>
          <w:sz w:val="24"/>
        </w:rPr>
        <w:object>
          <v:shape id="_x0000_i1025" o:spt="75" type="#_x0000_t75" style="height:12.8pt;width:12.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25" DrawAspect="Content" ObjectID="_1468075726" r:id="rId18">
            <o:LockedField>false</o:LockedField>
          </o:OLEObject>
        </w:object>
      </w:r>
      <w:r>
        <w:rPr>
          <w:rFonts w:hint="eastAsia" w:ascii="宋体" w:hAnsi="宋体" w:eastAsia="宋体"/>
          <w:sz w:val="24"/>
        </w:rPr>
        <w:t>，测量三次取平均值</w:t>
      </w:r>
      <w:r>
        <w:rPr>
          <w:position w:val="-4"/>
          <w:sz w:val="24"/>
        </w:rPr>
        <w:object>
          <v:shape id="_x0000_i1026" o:spt="75" type="#_x0000_t75" style="height:15.7pt;width:12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6" DrawAspect="Content" ObjectID="_1468075727" r:id="rId20">
            <o:LockedField>false</o:LockedField>
          </o:OLEObject>
        </w:object>
      </w:r>
      <w:r>
        <w:rPr>
          <w:rFonts w:hint="eastAsia"/>
          <w:position w:val="-4"/>
          <w:sz w:val="24"/>
        </w:rPr>
        <w:t>。</w:t>
      </w:r>
      <w:r>
        <w:rPr>
          <w:rFonts w:hint="eastAsia" w:ascii="宋体" w:hAnsi="宋体" w:eastAsia="宋体"/>
          <w:sz w:val="24"/>
        </w:rPr>
        <w:t>按同样方法放上</w:t>
      </w:r>
      <w:bookmarkEnd w:id="47"/>
      <w:bookmarkStart w:id="48" w:name="_Toc18013"/>
      <w:r>
        <w:rPr>
          <w:rFonts w:hint="eastAsia" w:ascii="宋体" w:hAnsi="宋体" w:eastAsia="宋体"/>
          <w:sz w:val="24"/>
        </w:rPr>
        <w:t>其他四块标准色度板依次进行测量。测量结束后读取各个标准板棉花反射率示值，</w:t>
      </w:r>
      <w:bookmarkEnd w:id="48"/>
      <w:bookmarkStart w:id="49" w:name="_Toc21603"/>
      <w:r>
        <w:rPr>
          <w:rFonts w:hint="eastAsia" w:ascii="宋体" w:hAnsi="宋体" w:eastAsia="宋体"/>
          <w:sz w:val="24"/>
        </w:rPr>
        <w:t>棉花反射率示值结果与标准值</w:t>
      </w:r>
      <w:r>
        <w:rPr>
          <w:position w:val="-12"/>
          <w:sz w:val="24"/>
        </w:rPr>
        <w:object>
          <v:shape id="_x0000_i1027" o:spt="75" type="#_x0000_t75" style="height:17.7pt;width:16.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7" DrawAspect="Content" ObjectID="_1468075728" r:id="rId22">
            <o:LockedField>false</o:LockedField>
          </o:OLEObject>
        </w:object>
      </w:r>
      <w:r>
        <w:rPr>
          <w:rFonts w:hint="eastAsia" w:ascii="宋体" w:hAnsi="宋体" w:eastAsia="宋体"/>
          <w:sz w:val="24"/>
        </w:rPr>
        <w:t>之间的差值即为每块标准色度板的棉花反射率示值误差</w:t>
      </w:r>
      <w:bookmarkEnd w:id="49"/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 w:eastAsia="宋体"/>
          <w:sz w:val="24"/>
        </w:rPr>
        <w:t>见公式（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 w:eastAsia="宋体"/>
          <w:sz w:val="24"/>
        </w:rPr>
        <w:t>）。</w:t>
      </w:r>
      <w:r>
        <w:rPr>
          <w:rFonts w:hint="eastAsia" w:ascii="宋体" w:hAnsi="宋体"/>
          <w:sz w:val="24"/>
          <w:lang w:eastAsia="zh-CN"/>
        </w:rPr>
        <w:t>在</w:t>
      </w:r>
      <w:r>
        <w:rPr>
          <w:rFonts w:hint="eastAsia" w:ascii="宋体" w:hAnsi="宋体" w:eastAsia="宋体"/>
          <w:sz w:val="24"/>
        </w:rPr>
        <w:t>各个标准板仪器棉花反射率示值误差</w:t>
      </w:r>
      <w:r>
        <w:rPr>
          <w:rFonts w:hint="eastAsia" w:ascii="宋体" w:hAnsi="宋体"/>
          <w:sz w:val="24"/>
          <w:lang w:eastAsia="zh-CN"/>
        </w:rPr>
        <w:t>中取</w:t>
      </w:r>
      <w:r>
        <w:rPr>
          <w:rFonts w:hint="eastAsia" w:ascii="宋体" w:hAnsi="宋体" w:eastAsia="宋体"/>
          <w:sz w:val="24"/>
        </w:rPr>
        <w:t>绝对值最大的示值误差</w:t>
      </w:r>
      <w:r>
        <w:rPr>
          <w:rFonts w:hint="eastAsia" w:ascii="宋体" w:hAnsi="宋体"/>
          <w:sz w:val="24"/>
          <w:lang w:eastAsia="zh-CN"/>
        </w:rPr>
        <w:t>作</w:t>
      </w:r>
      <w:r>
        <w:rPr>
          <w:rFonts w:hint="eastAsia" w:ascii="宋体" w:hAnsi="宋体"/>
          <w:sz w:val="24"/>
          <w:highlight w:val="none"/>
          <w:lang w:eastAsia="zh-CN"/>
        </w:rPr>
        <w:t>为</w:t>
      </w:r>
      <w:r>
        <w:rPr>
          <w:rFonts w:hint="eastAsia" w:ascii="宋体" w:hAnsi="宋体"/>
          <w:sz w:val="24"/>
          <w:highlight w:val="none"/>
          <w:lang w:val="en-US" w:eastAsia="zh-CN"/>
        </w:rPr>
        <w:t>校准结果</w:t>
      </w:r>
      <w:r>
        <w:rPr>
          <w:rFonts w:hint="eastAsia" w:ascii="宋体" w:hAnsi="宋体" w:eastAsia="宋体"/>
          <w:sz w:val="24"/>
          <w:highlight w:val="none"/>
        </w:rPr>
        <w:t>。</w:t>
      </w:r>
    </w:p>
    <w:p w14:paraId="65DFF547">
      <w:pPr>
        <w:pStyle w:val="29"/>
        <w:ind w:firstLine="480"/>
        <w:jc w:val="right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12"/>
          <w:sz w:val="24"/>
          <w:szCs w:val="24"/>
        </w:rPr>
        <w:object>
          <v:shape id="_x0000_i1028" o:spt="75" type="#_x0000_t75" style="height:20pt;width:60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28" DrawAspect="Content" ObjectID="_1468075729" r:id="rId24">
            <o:LockedField>false</o:LockedField>
          </o:OLEObject>
        </w:object>
      </w:r>
      <w:r>
        <w:rPr>
          <w:rFonts w:hint="eastAsia" w:ascii="Times New Roman"/>
          <w:kern w:val="2"/>
          <w:position w:val="-12"/>
          <w:sz w:val="24"/>
          <w:szCs w:val="24"/>
        </w:rPr>
        <w:t xml:space="preserve">                               </w:t>
      </w:r>
      <w:r>
        <w:rPr>
          <w:rFonts w:hint="eastAsia" w:ascii="Times New Roman"/>
          <w:kern w:val="2"/>
          <w:sz w:val="24"/>
          <w:szCs w:val="24"/>
        </w:rPr>
        <w:t>（</w:t>
      </w:r>
      <w:r>
        <w:rPr>
          <w:rFonts w:hint="eastAsia" w:ascii="Times New Roman"/>
          <w:kern w:val="2"/>
          <w:sz w:val="24"/>
          <w:szCs w:val="24"/>
          <w:lang w:val="en-US" w:eastAsia="zh-CN"/>
        </w:rPr>
        <w:t>1</w:t>
      </w:r>
      <w:r>
        <w:rPr>
          <w:rFonts w:hint="eastAsia" w:ascii="Times New Roman"/>
          <w:kern w:val="2"/>
          <w:sz w:val="24"/>
          <w:szCs w:val="24"/>
        </w:rPr>
        <w:t>）</w:t>
      </w:r>
    </w:p>
    <w:p w14:paraId="1E0CD6EF">
      <w:pPr>
        <w:pStyle w:val="29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ascii="Times New Roman"/>
          <w:kern w:val="2"/>
          <w:sz w:val="24"/>
          <w:szCs w:val="24"/>
        </w:rPr>
        <w:t>式中：</w:t>
      </w:r>
    </w:p>
    <w:p w14:paraId="0CEB99A7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29" o:spt="75" type="#_x0000_t75" style="height:12.8pt;width:19.3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3" ShapeID="_x0000_i1029" DrawAspect="Content" ObjectID="_1468075730" r:id="rId26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仪器棉花反射率示值误差</w:t>
      </w:r>
      <w:r>
        <w:rPr>
          <w:rFonts w:hint="eastAsia" w:ascii="Times New Roman"/>
          <w:kern w:val="2"/>
          <w:sz w:val="24"/>
          <w:szCs w:val="24"/>
        </w:rPr>
        <w:t>；</w:t>
      </w:r>
    </w:p>
    <w:p w14:paraId="66A4118D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30" o:spt="75" type="#_x0000_t75" style="height:15.7pt;width:12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0" DrawAspect="Content" ObjectID="_1468075731" r:id="rId28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各个标准板仪器测得的棉花反射率示值；</w:t>
      </w:r>
    </w:p>
    <w:p w14:paraId="4D40A588">
      <w:pPr>
        <w:pStyle w:val="29"/>
        <w:adjustRightInd w:val="0"/>
        <w:snapToGrid w:val="0"/>
        <w:spacing w:line="360" w:lineRule="auto"/>
        <w:ind w:firstLine="480"/>
        <w:rPr>
          <w:rFonts w:hint="eastAsia"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12"/>
          <w:sz w:val="24"/>
          <w:szCs w:val="24"/>
        </w:rPr>
        <w:object>
          <v:shape id="_x0000_i1031" o:spt="75" type="#_x0000_t75" style="height:17.7pt;width:16.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1" DrawAspect="Content" ObjectID="_1468075732" r:id="rId29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各个标准板反射率标准值。</w:t>
      </w:r>
    </w:p>
    <w:p w14:paraId="1F95F559">
      <w:pPr>
        <w:spacing w:line="360" w:lineRule="auto"/>
        <w:rPr>
          <w:rFonts w:hint="eastAsia" w:ascii="宋体" w:hAnsi="宋体"/>
          <w:sz w:val="24"/>
          <w:lang w:val="en-US" w:eastAsia="zh-CN"/>
        </w:rPr>
      </w:pPr>
      <w:bookmarkStart w:id="50" w:name="棉花黄色深度示值误差"/>
      <w:r>
        <w:rPr>
          <w:rFonts w:hint="eastAsia" w:ascii="宋体" w:hAnsi="宋体"/>
          <w:sz w:val="24"/>
          <w:lang w:val="en-US" w:eastAsia="zh-CN"/>
        </w:rPr>
        <w:t>7.3  棉花黄色深度示值误差</w:t>
      </w:r>
    </w:p>
    <w:bookmarkEnd w:id="50"/>
    <w:p w14:paraId="6BEA80CE">
      <w:pPr>
        <w:spacing w:line="360" w:lineRule="auto"/>
        <w:ind w:firstLine="480" w:firstLineChars="200"/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校准方法参照7.2，即</w:t>
      </w:r>
      <w:r>
        <w:rPr>
          <w:rFonts w:hint="eastAsia" w:ascii="宋体" w:hAnsi="宋体" w:eastAsia="宋体"/>
          <w:sz w:val="24"/>
        </w:rPr>
        <w:t>棉花</w:t>
      </w:r>
      <w:r>
        <w:rPr>
          <w:rFonts w:hint="eastAsia" w:ascii="宋体" w:hAnsi="宋体"/>
          <w:sz w:val="24"/>
          <w:lang w:eastAsia="zh-CN"/>
        </w:rPr>
        <w:t>黄色深度</w:t>
      </w:r>
      <w:r>
        <w:rPr>
          <w:rFonts w:hint="eastAsia" w:ascii="宋体" w:hAnsi="宋体" w:eastAsia="宋体"/>
          <w:sz w:val="24"/>
        </w:rPr>
        <w:t>示值结果与标准值</w:t>
      </w:r>
      <w:r>
        <w:rPr>
          <w:position w:val="-12"/>
          <w:sz w:val="24"/>
        </w:rPr>
        <w:object>
          <v:shape id="_x0000_i1032" o:spt="75" type="#_x0000_t75" style="height:17.7pt;width:14.2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32" DrawAspect="Content" ObjectID="_1468075733" r:id="rId31">
            <o:LockedField>false</o:LockedField>
          </o:OLEObject>
        </w:object>
      </w:r>
      <w:r>
        <w:rPr>
          <w:rFonts w:hint="eastAsia" w:ascii="宋体" w:hAnsi="宋体" w:eastAsia="宋体"/>
          <w:sz w:val="24"/>
        </w:rPr>
        <w:t>之间的差值即为每块标准色度板的棉花</w:t>
      </w:r>
      <w:r>
        <w:rPr>
          <w:rFonts w:hint="eastAsia" w:ascii="宋体" w:hAnsi="宋体"/>
          <w:sz w:val="24"/>
          <w:lang w:eastAsia="zh-CN"/>
        </w:rPr>
        <w:t>黄色深度</w:t>
      </w:r>
      <w:r>
        <w:rPr>
          <w:rFonts w:hint="eastAsia" w:ascii="宋体" w:hAnsi="宋体" w:eastAsia="宋体"/>
          <w:sz w:val="24"/>
        </w:rPr>
        <w:t>示值误差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 w:eastAsia="宋体"/>
          <w:sz w:val="24"/>
        </w:rPr>
        <w:t>见公式（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 w:eastAsia="宋体"/>
          <w:sz w:val="24"/>
        </w:rPr>
        <w:t>）</w:t>
      </w:r>
      <w:r>
        <w:rPr>
          <w:rFonts w:hint="eastAsia" w:ascii="宋体" w:hAnsi="宋体"/>
          <w:sz w:val="24"/>
          <w:lang w:eastAsia="zh-CN"/>
        </w:rPr>
        <w:t>。在</w:t>
      </w:r>
      <w:r>
        <w:rPr>
          <w:rFonts w:hint="eastAsia" w:ascii="宋体" w:hAnsi="宋体" w:eastAsia="宋体"/>
          <w:sz w:val="24"/>
        </w:rPr>
        <w:t>各个标准板仪器棉花</w:t>
      </w:r>
      <w:r>
        <w:rPr>
          <w:rFonts w:hint="eastAsia" w:ascii="宋体" w:hAnsi="宋体"/>
          <w:sz w:val="24"/>
          <w:lang w:eastAsia="zh-CN"/>
        </w:rPr>
        <w:t>黄色深度</w:t>
      </w:r>
      <w:r>
        <w:rPr>
          <w:rFonts w:hint="eastAsia" w:ascii="宋体" w:hAnsi="宋体" w:eastAsia="宋体"/>
          <w:sz w:val="24"/>
        </w:rPr>
        <w:t>示值误差</w:t>
      </w:r>
      <w:r>
        <w:rPr>
          <w:rFonts w:hint="eastAsia" w:ascii="宋体" w:hAnsi="宋体"/>
          <w:sz w:val="24"/>
          <w:lang w:eastAsia="zh-CN"/>
        </w:rPr>
        <w:t>中取</w:t>
      </w:r>
      <w:r>
        <w:rPr>
          <w:rFonts w:hint="eastAsia" w:ascii="宋体" w:hAnsi="宋体" w:eastAsia="宋体"/>
          <w:sz w:val="24"/>
        </w:rPr>
        <w:t>绝对值最大的示值误差</w:t>
      </w:r>
      <w:r>
        <w:rPr>
          <w:rFonts w:hint="eastAsia" w:ascii="宋体" w:hAnsi="宋体"/>
          <w:sz w:val="24"/>
          <w:lang w:eastAsia="zh-CN"/>
        </w:rPr>
        <w:t>作</w:t>
      </w:r>
      <w:r>
        <w:rPr>
          <w:rFonts w:hint="eastAsia" w:ascii="宋体" w:hAnsi="宋体"/>
          <w:sz w:val="24"/>
          <w:highlight w:val="none"/>
          <w:lang w:eastAsia="zh-CN"/>
        </w:rPr>
        <w:t>为</w:t>
      </w:r>
      <w:r>
        <w:rPr>
          <w:rFonts w:hint="eastAsia" w:ascii="宋体" w:hAnsi="宋体"/>
          <w:sz w:val="24"/>
          <w:highlight w:val="none"/>
          <w:lang w:val="en-US" w:eastAsia="zh-CN"/>
        </w:rPr>
        <w:t>校准结果。</w:t>
      </w:r>
    </w:p>
    <w:p w14:paraId="2CB083EC">
      <w:pPr>
        <w:pStyle w:val="29"/>
        <w:ind w:firstLine="480"/>
        <w:jc w:val="right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12"/>
          <w:sz w:val="24"/>
          <w:szCs w:val="24"/>
        </w:rPr>
        <w:object>
          <v:shape id="_x0000_i1033" o:spt="75" type="#_x0000_t75" style="height:20pt;width:5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33" DrawAspect="Content" ObjectID="_1468075734" r:id="rId33">
            <o:LockedField>false</o:LockedField>
          </o:OLEObject>
        </w:object>
      </w:r>
      <w:r>
        <w:rPr>
          <w:rFonts w:hint="eastAsia" w:ascii="Times New Roman"/>
          <w:kern w:val="2"/>
          <w:position w:val="-12"/>
          <w:sz w:val="24"/>
          <w:szCs w:val="24"/>
        </w:rPr>
        <w:t xml:space="preserve">                               </w:t>
      </w:r>
      <w:r>
        <w:rPr>
          <w:rFonts w:hint="eastAsia" w:ascii="Times New Roman"/>
          <w:kern w:val="2"/>
          <w:sz w:val="24"/>
          <w:szCs w:val="24"/>
        </w:rPr>
        <w:t>（2）</w:t>
      </w:r>
    </w:p>
    <w:p w14:paraId="3A841216">
      <w:pPr>
        <w:pStyle w:val="29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ascii="Times New Roman"/>
          <w:kern w:val="2"/>
          <w:sz w:val="24"/>
          <w:szCs w:val="24"/>
        </w:rPr>
        <w:t>式中：</w:t>
      </w:r>
    </w:p>
    <w:p w14:paraId="70E49FF3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34" o:spt="75" type="#_x0000_t75" style="height:12.8pt;width:20.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34" DrawAspect="Content" ObjectID="_1468075735" r:id="rId35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仪器棉花</w:t>
      </w:r>
      <w:r>
        <w:rPr>
          <w:rFonts w:hint="eastAsia" w:hAnsi="宋体" w:cs="Times New Roman"/>
          <w:kern w:val="2"/>
          <w:sz w:val="24"/>
          <w:szCs w:val="24"/>
          <w:lang w:eastAsia="zh-CN"/>
        </w:rPr>
        <w:t>黄色深度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示值误差</w:t>
      </w:r>
      <w:r>
        <w:rPr>
          <w:rFonts w:hint="eastAsia" w:ascii="Times New Roman"/>
          <w:kern w:val="2"/>
          <w:sz w:val="24"/>
          <w:szCs w:val="24"/>
        </w:rPr>
        <w:t>；</w:t>
      </w:r>
    </w:p>
    <w:p w14:paraId="46E08595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35" o:spt="75" type="#_x0000_t75" style="height:15.7pt;width:11.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35" DrawAspect="Content" ObjectID="_1468075736" r:id="rId37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各个标准板仪器测得的棉花</w:t>
      </w:r>
      <w:r>
        <w:rPr>
          <w:rFonts w:hint="eastAsia" w:ascii="Times New Roman"/>
          <w:kern w:val="2"/>
          <w:sz w:val="24"/>
          <w:szCs w:val="24"/>
          <w:lang w:eastAsia="zh-CN"/>
        </w:rPr>
        <w:t>黄色深度</w:t>
      </w:r>
      <w:r>
        <w:rPr>
          <w:rFonts w:hint="eastAsia" w:ascii="Times New Roman"/>
          <w:kern w:val="2"/>
          <w:sz w:val="24"/>
          <w:szCs w:val="24"/>
        </w:rPr>
        <w:t>示值；</w:t>
      </w:r>
    </w:p>
    <w:p w14:paraId="5AD13BBF">
      <w:pPr>
        <w:pStyle w:val="29"/>
        <w:adjustRightInd w:val="0"/>
        <w:snapToGrid w:val="0"/>
        <w:spacing w:line="360" w:lineRule="auto"/>
        <w:ind w:firstLine="480"/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ascii="Times New Roman"/>
          <w:kern w:val="2"/>
          <w:position w:val="-12"/>
          <w:sz w:val="24"/>
          <w:szCs w:val="24"/>
        </w:rPr>
        <w:object>
          <v:shape id="_x0000_i1036" o:spt="75" type="#_x0000_t75" style="height:17.7pt;width:14.2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36" DrawAspect="Content" ObjectID="_1468075737" r:id="rId39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各个标准板</w:t>
      </w:r>
      <w:r>
        <w:rPr>
          <w:rFonts w:hint="eastAsia" w:ascii="Times New Roman"/>
          <w:kern w:val="2"/>
          <w:sz w:val="24"/>
          <w:szCs w:val="24"/>
          <w:lang w:eastAsia="zh-CN"/>
        </w:rPr>
        <w:t>黄色深度</w:t>
      </w:r>
      <w:r>
        <w:rPr>
          <w:rFonts w:hint="eastAsia" w:ascii="Times New Roman"/>
          <w:kern w:val="2"/>
          <w:sz w:val="24"/>
          <w:szCs w:val="24"/>
        </w:rPr>
        <w:t>标准值。</w:t>
      </w:r>
    </w:p>
    <w:p w14:paraId="523C410C">
      <w:pPr>
        <w:spacing w:line="360" w:lineRule="auto"/>
        <w:outlineLvl w:val="0"/>
        <w:rPr>
          <w:rFonts w:ascii="宋体" w:hAnsi="宋体" w:cs="宋体"/>
          <w:kern w:val="0"/>
          <w:sz w:val="24"/>
        </w:rPr>
      </w:pPr>
      <w:bookmarkStart w:id="51" w:name="平均长度测量重复性"/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7.4  平均长度</w:t>
      </w:r>
      <w:r>
        <w:rPr>
          <w:rFonts w:hint="eastAsia" w:ascii="宋体" w:hAnsi="宋体" w:cs="宋体"/>
          <w:kern w:val="0"/>
          <w:sz w:val="24"/>
        </w:rPr>
        <w:t>测量重复性</w:t>
      </w:r>
      <w:bookmarkEnd w:id="42"/>
      <w:bookmarkEnd w:id="43"/>
      <w:bookmarkEnd w:id="44"/>
    </w:p>
    <w:bookmarkEnd w:id="51"/>
    <w:p w14:paraId="3C89EDEC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将仪器预热至稳定状态。准备长/强或短/弱标准棉花样品，并按照7.1.4的要求进行预处理。选定仪器长/强校准程序，对标准棉花样品的纤维平均长度进行连续6次测量，记录每次测量的结果。用极差法计算重复性，如公式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hint="eastAsia" w:ascii="宋体" w:hAnsi="宋体" w:eastAsia="宋体"/>
          <w:sz w:val="24"/>
        </w:rPr>
        <w:t>所示：</w:t>
      </w:r>
    </w:p>
    <w:p w14:paraId="1324F15C">
      <w:pPr>
        <w:pStyle w:val="29"/>
        <w:wordWrap w:val="0"/>
        <w:ind w:firstLine="2400" w:firstLineChars="1000"/>
        <w:jc w:val="right"/>
        <w:rPr>
          <w:sz w:val="24"/>
          <w:szCs w:val="24"/>
        </w:rPr>
      </w:pPr>
      <w:r>
        <w:rPr>
          <w:rFonts w:hint="eastAsia"/>
          <w:position w:val="-12"/>
          <w:sz w:val="24"/>
          <w:szCs w:val="24"/>
        </w:rPr>
        <w:t xml:space="preserve">        </w:t>
      </w:r>
      <w:r>
        <w:rPr>
          <w:rFonts w:hint="eastAsia"/>
          <w:position w:val="-12"/>
          <w:sz w:val="24"/>
          <w:szCs w:val="24"/>
        </w:rPr>
        <w:object>
          <v:shape id="_x0000_i1037" o:spt="75" type="#_x0000_t75" style="height:17.9pt;width:94.4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37" DrawAspect="Content" ObjectID="_1468075738" r:id="rId41">
            <o:LockedField>false</o:LockedField>
          </o:OLEObject>
        </w:objec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）</w:t>
      </w:r>
    </w:p>
    <w:p w14:paraId="4158C6C5">
      <w:pPr>
        <w:snapToGrid w:val="0"/>
        <w:spacing w:line="360" w:lineRule="auto"/>
        <w:ind w:left="-140" w:leftChars="-67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式中：</w:t>
      </w:r>
    </w:p>
    <w:p w14:paraId="04CF0D65">
      <w:pPr>
        <w:snapToGrid w:val="0"/>
        <w:spacing w:line="360" w:lineRule="auto"/>
        <w:ind w:left="-140" w:leftChars="-67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object>
          <v:shape id="_x0000_i1038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8" DrawAspect="Content" ObjectID="_1468075739" r:id="rId43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w w:val="200"/>
          <w:sz w:val="24"/>
        </w:rPr>
        <w:t>—</w:t>
      </w:r>
      <w:r>
        <w:rPr>
          <w:rFonts w:hint="eastAsia" w:ascii="宋体" w:hAnsi="宋体"/>
          <w:sz w:val="24"/>
        </w:rPr>
        <w:t>测量重复性结果；</w:t>
      </w:r>
    </w:p>
    <w:p w14:paraId="60895038">
      <w:pPr>
        <w:snapToGrid w:val="0"/>
        <w:spacing w:line="360" w:lineRule="auto"/>
        <w:ind w:left="-140" w:leftChars="-67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position w:val="-12"/>
          <w:sz w:val="24"/>
        </w:rPr>
        <w:object>
          <v:shape id="_x0000_i1039" o:spt="75" type="#_x0000_t75" style="height:18.4pt;width:24.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39" DrawAspect="Content" ObjectID="_1468075740" r:id="rId45">
            <o:LockedField>false</o:LockedField>
          </o:OLEObject>
        </w:object>
      </w:r>
      <w:r>
        <w:rPr>
          <w:rFonts w:hint="eastAsia" w:ascii="宋体" w:hAnsi="宋体"/>
          <w:w w:val="200"/>
          <w:sz w:val="24"/>
        </w:rPr>
        <w:t>—</w:t>
      </w:r>
      <w:r>
        <w:rPr>
          <w:rFonts w:hint="eastAsia" w:ascii="宋体" w:hAnsi="宋体"/>
          <w:sz w:val="24"/>
        </w:rPr>
        <w:t>纤维平均长度最大示值。</w:t>
      </w:r>
    </w:p>
    <w:p w14:paraId="064D99EF">
      <w:pPr>
        <w:snapToGrid w:val="0"/>
        <w:spacing w:line="360" w:lineRule="auto"/>
        <w:ind w:left="-140" w:leftChars="-67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position w:val="-10"/>
          <w:sz w:val="24"/>
        </w:rPr>
        <w:object>
          <v:shape id="_x0000_i1040" o:spt="75" type="#_x0000_t75" style="height:17.4pt;width:23.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0" DrawAspect="Content" ObjectID="_1468075741" r:id="rId47">
            <o:LockedField>false</o:LockedField>
          </o:OLEObject>
        </w:object>
      </w:r>
      <w:r>
        <w:rPr>
          <w:rFonts w:hint="eastAsia" w:ascii="宋体" w:hAnsi="宋体"/>
          <w:w w:val="200"/>
          <w:sz w:val="24"/>
        </w:rPr>
        <w:t>—</w:t>
      </w:r>
      <w:r>
        <w:rPr>
          <w:rFonts w:hint="eastAsia" w:ascii="宋体" w:hAnsi="宋体"/>
          <w:sz w:val="24"/>
        </w:rPr>
        <w:t>纤维平均长度最小示值。</w:t>
      </w:r>
    </w:p>
    <w:p w14:paraId="68A09C48">
      <w:pPr>
        <w:snapToGrid w:val="0"/>
        <w:spacing w:line="360" w:lineRule="auto"/>
        <w:ind w:left="-140" w:leftChars="-67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position w:val="-6"/>
          <w:sz w:val="24"/>
        </w:rPr>
        <w:object>
          <v:shape id="_x0000_i1041" o:spt="75" type="#_x0000_t75" style="height:14.25pt;width:12.4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1" DrawAspect="Content" ObjectID="_1468075742" r:id="rId49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w w:val="200"/>
          <w:sz w:val="24"/>
        </w:rPr>
        <w:t>—</w:t>
      </w:r>
      <w:r>
        <w:rPr>
          <w:rFonts w:hint="eastAsia" w:ascii="宋体" w:hAnsi="宋体"/>
          <w:sz w:val="24"/>
          <w:lang w:eastAsia="zh-CN"/>
        </w:rPr>
        <w:t>极差系数，测量</w:t>
      </w:r>
      <w:r>
        <w:rPr>
          <w:rFonts w:hint="eastAsia"/>
          <w:kern w:val="0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val="en-US" w:eastAsia="zh-CN"/>
        </w:rPr>
        <w:t>次，取</w:t>
      </w:r>
      <w:r>
        <w:rPr>
          <w:rFonts w:hint="eastAsia"/>
          <w:kern w:val="0"/>
          <w:sz w:val="24"/>
          <w:lang w:val="en-US" w:eastAsia="zh-CN"/>
        </w:rPr>
        <w:t>2.53</w:t>
      </w:r>
      <w:r>
        <w:rPr>
          <w:rFonts w:hint="eastAsia" w:ascii="宋体" w:hAnsi="宋体"/>
          <w:sz w:val="24"/>
        </w:rPr>
        <w:t>；</w:t>
      </w:r>
    </w:p>
    <w:bookmarkEnd w:id="45"/>
    <w:p w14:paraId="2E2C5E10">
      <w:pPr>
        <w:pStyle w:val="29"/>
        <w:adjustRightInd w:val="0"/>
        <w:snapToGrid w:val="0"/>
        <w:spacing w:line="360" w:lineRule="auto"/>
        <w:ind w:firstLine="0" w:firstLineChars="0"/>
        <w:rPr>
          <w:rFonts w:ascii="宋体" w:hAnsi="宋体" w:eastAsia="宋体" w:cs="Times New Roman"/>
          <w:sz w:val="24"/>
          <w:szCs w:val="24"/>
        </w:rPr>
      </w:pPr>
      <w:bookmarkStart w:id="52" w:name="_Toc10882"/>
      <w:bookmarkStart w:id="53" w:name="纤维平均长度"/>
      <w:r>
        <w:rPr>
          <w:rFonts w:hint="eastAsia" w:hAnsi="宋体" w:cs="Times New Roman"/>
          <w:sz w:val="24"/>
          <w:szCs w:val="24"/>
          <w:lang w:val="en-US" w:eastAsia="zh-CN"/>
        </w:rPr>
        <w:t xml:space="preserve">7.5  </w:t>
      </w:r>
      <w:r>
        <w:rPr>
          <w:rFonts w:hint="eastAsia" w:ascii="宋体" w:hAnsi="宋体" w:eastAsia="宋体" w:cs="Times New Roman"/>
          <w:sz w:val="24"/>
          <w:szCs w:val="24"/>
        </w:rPr>
        <w:t>纤维平均长度、</w:t>
      </w:r>
      <w:r>
        <w:rPr>
          <w:rFonts w:hint="eastAsia" w:hAnsi="宋体" w:cs="Times New Roman"/>
          <w:sz w:val="24"/>
          <w:szCs w:val="24"/>
          <w:lang w:eastAsia="zh-CN"/>
        </w:rPr>
        <w:t>长度</w:t>
      </w:r>
      <w:r>
        <w:rPr>
          <w:rFonts w:hint="eastAsia" w:ascii="宋体" w:hAnsi="宋体" w:eastAsia="宋体" w:cs="Times New Roman"/>
          <w:sz w:val="24"/>
          <w:szCs w:val="24"/>
        </w:rPr>
        <w:t>整齐度指数、断裂比强度示值误差</w:t>
      </w:r>
      <w:bookmarkEnd w:id="52"/>
      <w:bookmarkStart w:id="54" w:name="_Toc14673"/>
    </w:p>
    <w:bookmarkEnd w:id="53"/>
    <w:p w14:paraId="77DE28FF">
      <w:pPr>
        <w:pStyle w:val="29"/>
        <w:adjustRightInd w:val="0"/>
        <w:snapToGrid w:val="0"/>
        <w:spacing w:line="360" w:lineRule="auto"/>
        <w:ind w:firstLine="48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选定仪器长/强校准程序。在取样舱内放入短/弱及长/强2种标准棉样各检测3次。注意每次检测后翻转并交换两取样腔内的棉样以改变取样位置。检测结束后，读取长度示值</w:t>
      </w:r>
      <w:r>
        <w:rPr>
          <w:rFonts w:ascii="Times New Roman"/>
          <w:kern w:val="2"/>
          <w:position w:val="-4"/>
          <w:sz w:val="24"/>
          <w:szCs w:val="24"/>
        </w:rPr>
        <w:object>
          <v:shape id="_x0000_i1042" o:spt="75" type="#_x0000_t75" style="height:12.75pt;width:11.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2" DrawAspect="Content" ObjectID="_1468075743" r:id="rId51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zCs w:val="24"/>
        </w:rPr>
        <w:t>，计算三次纤维平均长度示值结果的平均值与标准值</w:t>
      </w:r>
      <w:r>
        <w:rPr>
          <w:rFonts w:ascii="Times New Roman"/>
          <w:kern w:val="2"/>
          <w:position w:val="-12"/>
          <w:sz w:val="24"/>
          <w:szCs w:val="24"/>
        </w:rPr>
        <w:object>
          <v:shape id="_x0000_i1043" o:spt="75" type="#_x0000_t75" style="height:17.7pt;width:15.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3" DrawAspect="Content" ObjectID="_1468075744" r:id="rId53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zCs w:val="24"/>
        </w:rPr>
        <w:t>之间的差值即为每个标准样品的的纤维平均长度示值误差</w:t>
      </w:r>
      <w:r>
        <w:rPr>
          <w:rFonts w:hint="eastAsia" w:hAnsi="宋体" w:cs="Times New Roman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>见公式（</w:t>
      </w:r>
      <w:r>
        <w:rPr>
          <w:rFonts w:hint="eastAsia" w:hAnsi="宋体" w:cs="Times New Roman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Times New Roman"/>
          <w:sz w:val="24"/>
          <w:szCs w:val="24"/>
        </w:rPr>
        <w:t>）。</w:t>
      </w:r>
      <w:r>
        <w:rPr>
          <w:rFonts w:hint="eastAsia" w:hAnsi="宋体" w:cs="Times New Roman"/>
          <w:sz w:val="24"/>
          <w:szCs w:val="24"/>
          <w:lang w:eastAsia="zh-CN"/>
        </w:rPr>
        <w:t>在</w:t>
      </w:r>
      <w:r>
        <w:rPr>
          <w:rFonts w:hint="eastAsia" w:ascii="宋体" w:hAnsi="宋体" w:eastAsia="宋体" w:cs="Times New Roman"/>
          <w:sz w:val="24"/>
          <w:szCs w:val="24"/>
        </w:rPr>
        <w:t>2个标准样品仪器纤维平均长度示值误差</w:t>
      </w:r>
      <w:r>
        <w:rPr>
          <w:rFonts w:hint="eastAsia" w:hAnsi="宋体" w:cs="Times New Roman"/>
          <w:sz w:val="24"/>
          <w:szCs w:val="24"/>
          <w:lang w:eastAsia="zh-CN"/>
        </w:rPr>
        <w:t>中取</w:t>
      </w:r>
      <w:r>
        <w:rPr>
          <w:rFonts w:hint="eastAsia" w:ascii="宋体" w:hAnsi="宋体" w:eastAsia="宋体" w:cs="Times New Roman"/>
          <w:sz w:val="24"/>
          <w:szCs w:val="24"/>
        </w:rPr>
        <w:t>绝对值最大的示值误差</w:t>
      </w:r>
      <w:r>
        <w:rPr>
          <w:rFonts w:hint="eastAsia" w:hAnsi="宋体" w:cs="Times New Roman"/>
          <w:sz w:val="24"/>
          <w:szCs w:val="24"/>
          <w:lang w:eastAsia="zh-CN"/>
        </w:rPr>
        <w:t>作</w:t>
      </w:r>
      <w:r>
        <w:rPr>
          <w:rFonts w:hint="eastAsia" w:ascii="宋体" w:hAnsi="宋体" w:eastAsia="宋体" w:cs="Times New Roman"/>
          <w:sz w:val="24"/>
          <w:szCs w:val="24"/>
        </w:rPr>
        <w:t>为</w:t>
      </w:r>
      <w:r>
        <w:rPr>
          <w:rFonts w:hint="eastAsia" w:hAnsi="宋体" w:cs="Times New Roman"/>
          <w:sz w:val="24"/>
          <w:szCs w:val="24"/>
          <w:lang w:eastAsia="zh-CN"/>
        </w:rPr>
        <w:t>校准结果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 w14:paraId="79BAEF99">
      <w:pPr>
        <w:pStyle w:val="29"/>
        <w:ind w:firstLine="480"/>
        <w:jc w:val="right"/>
        <w:rPr>
          <w:rFonts w:ascii="Times New Roman"/>
          <w:kern w:val="2"/>
          <w:sz w:val="24"/>
          <w:szCs w:val="24"/>
        </w:rPr>
      </w:pPr>
      <w:r>
        <w:rPr>
          <w:rFonts w:ascii="Times New Roman" w:eastAsia="宋体" w:cs="Times New Roman"/>
          <w:kern w:val="2"/>
          <w:position w:val="-12"/>
          <w:sz w:val="24"/>
          <w:szCs w:val="24"/>
        </w:rPr>
        <w:object>
          <v:shape id="_x0000_i1044" o:spt="75" type="#_x0000_t75" style="height:20pt;width:5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44" DrawAspect="Content" ObjectID="_1468075745" r:id="rId55">
            <o:LockedField>false</o:LockedField>
          </o:OLEObject>
        </w:object>
      </w:r>
      <w:r>
        <w:rPr>
          <w:rFonts w:hint="eastAsia" w:ascii="Times New Roman" w:eastAsia="宋体" w:cs="Times New Roman"/>
          <w:kern w:val="2"/>
          <w:position w:val="-12"/>
          <w:sz w:val="24"/>
          <w:szCs w:val="24"/>
        </w:rPr>
        <w:t xml:space="preserve">                               </w:t>
      </w:r>
      <w:r>
        <w:rPr>
          <w:rFonts w:hint="eastAsia" w:ascii="Times New Roman"/>
          <w:kern w:val="2"/>
          <w:sz w:val="24"/>
          <w:szCs w:val="24"/>
        </w:rPr>
        <w:t>（</w:t>
      </w:r>
      <w:r>
        <w:rPr>
          <w:rFonts w:hint="eastAsia" w:ascii="Times New Roman"/>
          <w:kern w:val="2"/>
          <w:sz w:val="24"/>
          <w:szCs w:val="24"/>
          <w:lang w:val="en-US" w:eastAsia="zh-CN"/>
        </w:rPr>
        <w:t>4</w:t>
      </w:r>
      <w:r>
        <w:rPr>
          <w:rFonts w:hint="eastAsia" w:ascii="Times New Roman"/>
          <w:kern w:val="2"/>
          <w:sz w:val="24"/>
          <w:szCs w:val="24"/>
        </w:rPr>
        <w:t>）</w:t>
      </w:r>
    </w:p>
    <w:p w14:paraId="43F0290D">
      <w:pPr>
        <w:pStyle w:val="29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ascii="Times New Roman"/>
          <w:kern w:val="2"/>
          <w:sz w:val="24"/>
          <w:szCs w:val="24"/>
        </w:rPr>
        <w:t>式中：</w:t>
      </w:r>
    </w:p>
    <w:p w14:paraId="42D6C6C7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45" o:spt="75" type="#_x0000_t75" style="height:12.8pt;width:19.3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45" DrawAspect="Content" ObjectID="_1468075746" r:id="rId57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仪器纤维平均长度示值误差；</w:t>
      </w:r>
    </w:p>
    <w:p w14:paraId="2CBDC0AD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hAnsi="宋体"/>
          <w:position w:val="-4"/>
          <w:sz w:val="24"/>
        </w:rPr>
        <w:object>
          <v:shape id="_x0000_i1046" o:spt="75" type="#_x0000_t75" style="height:16.4pt;width:11.5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6" DrawAspect="Content" ObjectID="_1468075747" r:id="rId59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各个标准样品仪器测得的纤维平均长度示值结果的平均值；</w:t>
      </w:r>
    </w:p>
    <w:p w14:paraId="68341099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hAnsi="宋体"/>
          <w:position w:val="-12"/>
          <w:sz w:val="24"/>
        </w:rPr>
        <w:object>
          <v:shape id="_x0000_i1047" o:spt="75" type="#_x0000_t75" style="height:18.45pt;width:14.6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47" DrawAspect="Content" ObjectID="_1468075748" r:id="rId61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各个标准样品纤维平均长度标准值。</w:t>
      </w:r>
    </w:p>
    <w:p w14:paraId="6F4ADD29">
      <w:pPr>
        <w:pStyle w:val="29"/>
        <w:adjustRightInd w:val="0"/>
        <w:snapToGrid w:val="0"/>
        <w:spacing w:line="360" w:lineRule="auto"/>
        <w:ind w:firstLine="48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读取长度整齐度</w:t>
      </w:r>
      <w:r>
        <w:rPr>
          <w:rFonts w:hint="eastAsia" w:hAnsi="宋体" w:cs="Times New Roman"/>
          <w:sz w:val="24"/>
          <w:szCs w:val="24"/>
          <w:lang w:eastAsia="zh-CN"/>
        </w:rPr>
        <w:t>指数</w:t>
      </w:r>
      <w:r>
        <w:rPr>
          <w:rFonts w:hint="eastAsia" w:ascii="宋体" w:hAnsi="宋体" w:eastAsia="宋体" w:cs="Times New Roman"/>
          <w:sz w:val="24"/>
          <w:szCs w:val="24"/>
        </w:rPr>
        <w:t>示值</w:t>
      </w:r>
      <w:r>
        <w:rPr>
          <w:rFonts w:ascii="Times New Roman"/>
          <w:kern w:val="2"/>
          <w:position w:val="-4"/>
          <w:sz w:val="24"/>
          <w:szCs w:val="24"/>
        </w:rPr>
        <w:object>
          <v:shape id="_x0000_i1048" o:spt="75" type="#_x0000_t75" style="height:12.75pt;width:10.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48" DrawAspect="Content" ObjectID="_1468075749" r:id="rId63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zCs w:val="24"/>
        </w:rPr>
        <w:t>，计算三次长度整齐度</w:t>
      </w:r>
      <w:r>
        <w:rPr>
          <w:rFonts w:hint="eastAsia" w:hAnsi="宋体" w:cs="Times New Roman"/>
          <w:sz w:val="24"/>
          <w:szCs w:val="24"/>
          <w:lang w:eastAsia="zh-CN"/>
        </w:rPr>
        <w:t>指数</w:t>
      </w:r>
      <w:r>
        <w:rPr>
          <w:rFonts w:hint="eastAsia" w:ascii="宋体" w:hAnsi="宋体" w:eastAsia="宋体" w:cs="Times New Roman"/>
          <w:sz w:val="24"/>
          <w:szCs w:val="24"/>
        </w:rPr>
        <w:t>示值</w:t>
      </w:r>
      <w:r>
        <w:rPr>
          <w:rFonts w:hint="eastAsia" w:hAnsi="宋体" w:cs="Times New Roman"/>
          <w:sz w:val="24"/>
          <w:szCs w:val="24"/>
          <w:lang w:eastAsia="zh-CN"/>
        </w:rPr>
        <w:t>结果</w:t>
      </w:r>
      <w:r>
        <w:rPr>
          <w:rFonts w:hint="eastAsia" w:ascii="宋体" w:hAnsi="宋体" w:eastAsia="宋体" w:cs="Times New Roman"/>
          <w:sz w:val="24"/>
          <w:szCs w:val="24"/>
        </w:rPr>
        <w:t>的平均值与标准值</w:t>
      </w:r>
      <w:r>
        <w:rPr>
          <w:rFonts w:ascii="Times New Roman"/>
          <w:kern w:val="2"/>
          <w:position w:val="-12"/>
          <w:sz w:val="24"/>
          <w:szCs w:val="24"/>
        </w:rPr>
        <w:object>
          <v:shape id="_x0000_i1049" o:spt="75" type="#_x0000_t75" style="height:17.7pt;width:13.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49" DrawAspect="Content" ObjectID="_1468075750" r:id="rId65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zCs w:val="24"/>
        </w:rPr>
        <w:t>之间的差值即为每个标准样品的长度整齐度</w:t>
      </w:r>
      <w:r>
        <w:rPr>
          <w:rFonts w:hint="eastAsia" w:hAnsi="宋体" w:cs="Times New Roman"/>
          <w:sz w:val="24"/>
          <w:szCs w:val="24"/>
          <w:lang w:eastAsia="zh-CN"/>
        </w:rPr>
        <w:t>指数</w:t>
      </w:r>
      <w:r>
        <w:rPr>
          <w:rFonts w:hint="eastAsia" w:ascii="宋体" w:hAnsi="宋体" w:eastAsia="宋体" w:cs="Times New Roman"/>
          <w:sz w:val="24"/>
          <w:szCs w:val="24"/>
        </w:rPr>
        <w:t>示值误差</w:t>
      </w:r>
      <w:r>
        <w:rPr>
          <w:rFonts w:hint="eastAsia" w:hAnsi="宋体" w:cs="Times New Roman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>见公式（</w:t>
      </w:r>
      <w:r>
        <w:rPr>
          <w:rFonts w:hint="eastAsia" w:hAnsi="宋体" w:cs="Times New Roman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Times New Roman"/>
          <w:sz w:val="24"/>
          <w:szCs w:val="24"/>
        </w:rPr>
        <w:t>）。</w:t>
      </w:r>
      <w:r>
        <w:rPr>
          <w:rFonts w:hint="eastAsia" w:hAnsi="宋体" w:cs="Times New Roman"/>
          <w:sz w:val="24"/>
          <w:szCs w:val="24"/>
          <w:lang w:eastAsia="zh-CN"/>
        </w:rPr>
        <w:t>在</w:t>
      </w:r>
      <w:r>
        <w:rPr>
          <w:rFonts w:hint="eastAsia" w:ascii="宋体" w:hAnsi="宋体" w:eastAsia="宋体" w:cs="Times New Roman"/>
          <w:sz w:val="24"/>
          <w:szCs w:val="24"/>
        </w:rPr>
        <w:t>2个标准样品仪器长度整齐度</w:t>
      </w:r>
      <w:r>
        <w:rPr>
          <w:rFonts w:hint="eastAsia" w:hAnsi="宋体" w:cs="Times New Roman"/>
          <w:sz w:val="24"/>
          <w:szCs w:val="24"/>
          <w:lang w:eastAsia="zh-CN"/>
        </w:rPr>
        <w:t>指数</w:t>
      </w:r>
      <w:r>
        <w:rPr>
          <w:rFonts w:hint="eastAsia" w:ascii="宋体" w:hAnsi="宋体" w:eastAsia="宋体" w:cs="Times New Roman"/>
          <w:sz w:val="24"/>
          <w:szCs w:val="24"/>
        </w:rPr>
        <w:t>示值误差</w:t>
      </w:r>
      <w:r>
        <w:rPr>
          <w:rFonts w:hint="eastAsia" w:hAnsi="宋体" w:cs="Times New Roman"/>
          <w:sz w:val="24"/>
          <w:szCs w:val="24"/>
          <w:lang w:eastAsia="zh-CN"/>
        </w:rPr>
        <w:t>中取</w:t>
      </w:r>
      <w:r>
        <w:rPr>
          <w:rFonts w:hint="eastAsia" w:ascii="宋体" w:hAnsi="宋体" w:eastAsia="宋体" w:cs="Times New Roman"/>
          <w:sz w:val="24"/>
          <w:szCs w:val="24"/>
        </w:rPr>
        <w:t>绝对值最大的示值误差</w:t>
      </w:r>
      <w:r>
        <w:rPr>
          <w:rFonts w:hint="eastAsia" w:hAnsi="宋体" w:cs="Times New Roman"/>
          <w:sz w:val="24"/>
          <w:szCs w:val="24"/>
          <w:lang w:eastAsia="zh-CN"/>
        </w:rPr>
        <w:t>作</w:t>
      </w:r>
      <w:r>
        <w:rPr>
          <w:rFonts w:hint="eastAsia" w:ascii="宋体" w:hAnsi="宋体" w:eastAsia="宋体" w:cs="Times New Roman"/>
          <w:sz w:val="24"/>
          <w:szCs w:val="24"/>
        </w:rPr>
        <w:t>为</w:t>
      </w:r>
      <w:r>
        <w:rPr>
          <w:rFonts w:hint="eastAsia" w:hAnsi="宋体" w:cs="Times New Roman"/>
          <w:sz w:val="24"/>
          <w:szCs w:val="24"/>
          <w:lang w:eastAsia="zh-CN"/>
        </w:rPr>
        <w:t>校准结果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 w14:paraId="1C789657">
      <w:pPr>
        <w:pStyle w:val="29"/>
        <w:ind w:firstLine="480"/>
        <w:jc w:val="right"/>
        <w:rPr>
          <w:rFonts w:ascii="Times New Roman"/>
          <w:kern w:val="2"/>
          <w:sz w:val="24"/>
          <w:szCs w:val="24"/>
        </w:rPr>
      </w:pPr>
      <w:r>
        <w:rPr>
          <w:rFonts w:ascii="Times New Roman" w:eastAsia="宋体" w:cs="Times New Roman"/>
          <w:kern w:val="2"/>
          <w:position w:val="-12"/>
          <w:sz w:val="24"/>
          <w:szCs w:val="24"/>
        </w:rPr>
        <w:object>
          <v:shape id="_x0000_i1050" o:spt="75" type="#_x0000_t75" style="height:20pt;width:5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3" ShapeID="_x0000_i1050" DrawAspect="Content" ObjectID="_1468075751" r:id="rId67">
            <o:LockedField>false</o:LockedField>
          </o:OLEObject>
        </w:object>
      </w:r>
      <w:r>
        <w:rPr>
          <w:rFonts w:hint="eastAsia" w:ascii="Times New Roman" w:eastAsia="宋体" w:cs="Times New Roman"/>
          <w:kern w:val="2"/>
          <w:position w:val="-12"/>
          <w:sz w:val="24"/>
          <w:szCs w:val="24"/>
        </w:rPr>
        <w:t xml:space="preserve">                               </w:t>
      </w:r>
      <w:r>
        <w:rPr>
          <w:rFonts w:hint="eastAsia" w:ascii="Times New Roman"/>
          <w:kern w:val="2"/>
          <w:sz w:val="24"/>
          <w:szCs w:val="24"/>
        </w:rPr>
        <w:t>（</w:t>
      </w:r>
      <w:r>
        <w:rPr>
          <w:rFonts w:hint="eastAsia" w:ascii="Times New Roman"/>
          <w:kern w:val="2"/>
          <w:sz w:val="24"/>
          <w:szCs w:val="24"/>
          <w:lang w:val="en-US" w:eastAsia="zh-CN"/>
        </w:rPr>
        <w:t>5</w:t>
      </w:r>
      <w:r>
        <w:rPr>
          <w:rFonts w:hint="eastAsia" w:ascii="Times New Roman"/>
          <w:kern w:val="2"/>
          <w:sz w:val="24"/>
          <w:szCs w:val="24"/>
        </w:rPr>
        <w:t>）</w:t>
      </w:r>
    </w:p>
    <w:p w14:paraId="47A5DE8A">
      <w:pPr>
        <w:pStyle w:val="29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ascii="Times New Roman"/>
          <w:kern w:val="2"/>
          <w:sz w:val="24"/>
          <w:szCs w:val="24"/>
        </w:rPr>
        <w:t>式中：</w:t>
      </w:r>
    </w:p>
    <w:p w14:paraId="655534B8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51" o:spt="75" type="#_x0000_t75" style="height:12.8pt;width:17.3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3" ShapeID="_x0000_i1051" DrawAspect="Content" ObjectID="_1468075752" r:id="rId69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仪器</w:t>
      </w:r>
      <w:r>
        <w:rPr>
          <w:rFonts w:hint="eastAsia" w:ascii="宋体" w:hAnsi="宋体" w:eastAsia="宋体" w:cs="Times New Roman"/>
          <w:sz w:val="24"/>
          <w:szCs w:val="24"/>
        </w:rPr>
        <w:t>长度整齐度</w:t>
      </w:r>
      <w:r>
        <w:rPr>
          <w:rFonts w:hint="eastAsia" w:hAnsi="宋体" w:cs="Times New Roman"/>
          <w:sz w:val="24"/>
          <w:szCs w:val="24"/>
          <w:lang w:eastAsia="zh-CN"/>
        </w:rPr>
        <w:t>指数</w:t>
      </w:r>
      <w:r>
        <w:rPr>
          <w:rFonts w:hint="eastAsia" w:ascii="Times New Roman"/>
          <w:kern w:val="2"/>
          <w:sz w:val="24"/>
          <w:szCs w:val="24"/>
        </w:rPr>
        <w:t>示值误差；</w:t>
      </w:r>
    </w:p>
    <w:p w14:paraId="2C97D399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hAnsi="宋体"/>
          <w:position w:val="-4"/>
          <w:sz w:val="24"/>
        </w:rPr>
        <w:object>
          <v:shape id="_x0000_i1052" o:spt="75" type="#_x0000_t75" style="height:16.4pt;width:10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2" DrawAspect="Content" ObjectID="_1468075753" r:id="rId71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各个标准样品仪器测得的长度整齐度</w:t>
      </w:r>
      <w:r>
        <w:rPr>
          <w:rFonts w:hint="eastAsia" w:hAnsi="宋体" w:cs="Times New Roman"/>
          <w:sz w:val="24"/>
          <w:szCs w:val="24"/>
          <w:lang w:eastAsia="zh-CN"/>
        </w:rPr>
        <w:t>指数</w:t>
      </w:r>
      <w:r>
        <w:rPr>
          <w:rFonts w:hint="eastAsia" w:ascii="Times New Roman"/>
          <w:kern w:val="2"/>
          <w:sz w:val="24"/>
          <w:szCs w:val="24"/>
        </w:rPr>
        <w:t>示值结果的平均值；</w:t>
      </w:r>
    </w:p>
    <w:p w14:paraId="4A0B75C8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 w:eastAsia="宋体" w:cs="Times New Roman"/>
          <w:kern w:val="2"/>
          <w:position w:val="-12"/>
          <w:sz w:val="24"/>
          <w:szCs w:val="24"/>
        </w:rPr>
        <w:object>
          <v:shape id="_x0000_i1053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3" DrawAspect="Content" ObjectID="_1468075754" r:id="rId73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各个标准样品长度整齐度</w:t>
      </w:r>
      <w:r>
        <w:rPr>
          <w:rFonts w:hint="eastAsia" w:hAnsi="宋体" w:cs="Times New Roman"/>
          <w:sz w:val="24"/>
          <w:szCs w:val="24"/>
          <w:lang w:eastAsia="zh-CN"/>
        </w:rPr>
        <w:t>指数</w:t>
      </w:r>
      <w:r>
        <w:rPr>
          <w:rFonts w:hint="eastAsia" w:ascii="Times New Roman"/>
          <w:kern w:val="2"/>
          <w:sz w:val="24"/>
          <w:szCs w:val="24"/>
        </w:rPr>
        <w:t>标准值。</w:t>
      </w:r>
      <w:bookmarkEnd w:id="54"/>
    </w:p>
    <w:p w14:paraId="75451758">
      <w:pPr>
        <w:pStyle w:val="29"/>
        <w:adjustRightInd w:val="0"/>
        <w:snapToGrid w:val="0"/>
        <w:spacing w:line="360" w:lineRule="auto"/>
        <w:ind w:firstLine="48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读取断裂比强度示值</w:t>
      </w:r>
      <w:r>
        <w:rPr>
          <w:rFonts w:ascii="Times New Roman"/>
          <w:kern w:val="2"/>
          <w:position w:val="-4"/>
          <w:sz w:val="24"/>
          <w:szCs w:val="24"/>
        </w:rPr>
        <w:object>
          <v:shape id="_x0000_i1054" o:spt="75" type="#_x0000_t75" style="height:12.75pt;width:13.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4" DrawAspect="Content" ObjectID="_1468075755" r:id="rId75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zCs w:val="24"/>
        </w:rPr>
        <w:t>，计算三次棉花断裂比强度示值结果的平均值与标准值</w:t>
      </w:r>
      <w:r>
        <w:rPr>
          <w:rFonts w:ascii="Times New Roman"/>
          <w:kern w:val="2"/>
          <w:position w:val="-12"/>
          <w:sz w:val="24"/>
          <w:szCs w:val="24"/>
        </w:rPr>
        <w:object>
          <v:shape id="_x0000_i1055" o:spt="75" type="#_x0000_t75" style="height:17.7pt;width:15.3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55" DrawAspect="Content" ObjectID="_1468075756" r:id="rId77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zCs w:val="24"/>
        </w:rPr>
        <w:t>之间的差值即为每个标准样品的断裂比强度示值误差</w:t>
      </w:r>
      <w:r>
        <w:rPr>
          <w:rFonts w:hint="eastAsia" w:hAnsi="宋体" w:cs="Times New Roman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>见公式（</w:t>
      </w:r>
      <w:r>
        <w:rPr>
          <w:rFonts w:hint="eastAsia" w:hAnsi="宋体" w:cs="Times New Roman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imes New Roman"/>
          <w:sz w:val="24"/>
          <w:szCs w:val="24"/>
        </w:rPr>
        <w:t>）。</w:t>
      </w:r>
      <w:r>
        <w:rPr>
          <w:rFonts w:hint="eastAsia" w:hAnsi="宋体" w:cs="Times New Roman"/>
          <w:sz w:val="24"/>
          <w:szCs w:val="24"/>
          <w:lang w:eastAsia="zh-CN"/>
        </w:rPr>
        <w:t>在</w:t>
      </w:r>
      <w:r>
        <w:rPr>
          <w:rFonts w:hint="eastAsia" w:ascii="宋体" w:hAnsi="宋体" w:eastAsia="宋体" w:cs="Times New Roman"/>
          <w:sz w:val="24"/>
          <w:szCs w:val="24"/>
        </w:rPr>
        <w:t>2个标准样品仪器棉花断裂比强度示值误差</w:t>
      </w:r>
      <w:r>
        <w:rPr>
          <w:rFonts w:hint="eastAsia" w:hAnsi="宋体" w:cs="Times New Roman"/>
          <w:sz w:val="24"/>
          <w:szCs w:val="24"/>
          <w:lang w:eastAsia="zh-CN"/>
        </w:rPr>
        <w:t>中取</w:t>
      </w:r>
      <w:r>
        <w:rPr>
          <w:rFonts w:hint="eastAsia" w:ascii="宋体" w:hAnsi="宋体" w:eastAsia="宋体" w:cs="Times New Roman"/>
          <w:sz w:val="24"/>
          <w:szCs w:val="24"/>
        </w:rPr>
        <w:t>绝对值最大的示值误差</w:t>
      </w:r>
      <w:r>
        <w:rPr>
          <w:rFonts w:hint="eastAsia" w:hAnsi="宋体" w:cs="Times New Roman"/>
          <w:sz w:val="24"/>
          <w:szCs w:val="24"/>
          <w:lang w:eastAsia="zh-CN"/>
        </w:rPr>
        <w:t>作</w:t>
      </w:r>
      <w:r>
        <w:rPr>
          <w:rFonts w:hint="eastAsia" w:ascii="宋体" w:hAnsi="宋体" w:eastAsia="宋体" w:cs="Times New Roman"/>
          <w:sz w:val="24"/>
          <w:szCs w:val="24"/>
        </w:rPr>
        <w:t>为</w:t>
      </w:r>
      <w:r>
        <w:rPr>
          <w:rFonts w:hint="eastAsia" w:hAnsi="宋体" w:cs="Times New Roman"/>
          <w:sz w:val="24"/>
          <w:szCs w:val="24"/>
          <w:lang w:eastAsia="zh-CN"/>
        </w:rPr>
        <w:t>校准结果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 w14:paraId="49F34AD4">
      <w:pPr>
        <w:pStyle w:val="29"/>
        <w:ind w:firstLine="480"/>
        <w:jc w:val="right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12"/>
          <w:sz w:val="24"/>
          <w:szCs w:val="24"/>
        </w:rPr>
        <w:object>
          <v:shape id="_x0000_i1056" o:spt="75" type="#_x0000_t75" style="height:20pt;width:6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3" ShapeID="_x0000_i1056" DrawAspect="Content" ObjectID="_1468075757" r:id="rId79">
            <o:LockedField>false</o:LockedField>
          </o:OLEObject>
        </w:object>
      </w:r>
      <w:r>
        <w:rPr>
          <w:rFonts w:hint="eastAsia" w:ascii="Times New Roman"/>
          <w:kern w:val="2"/>
          <w:position w:val="-12"/>
          <w:sz w:val="24"/>
          <w:szCs w:val="24"/>
        </w:rPr>
        <w:t xml:space="preserve">                              </w:t>
      </w:r>
      <w:r>
        <w:rPr>
          <w:rFonts w:hint="eastAsia" w:ascii="Times New Roman"/>
          <w:kern w:val="2"/>
          <w:sz w:val="24"/>
          <w:szCs w:val="24"/>
        </w:rPr>
        <w:t>（</w:t>
      </w:r>
      <w:r>
        <w:rPr>
          <w:rFonts w:hint="eastAsia" w:ascii="Times New Roman"/>
          <w:kern w:val="2"/>
          <w:sz w:val="24"/>
          <w:szCs w:val="24"/>
          <w:lang w:val="en-US" w:eastAsia="zh-CN"/>
        </w:rPr>
        <w:t>6</w:t>
      </w:r>
      <w:r>
        <w:rPr>
          <w:rFonts w:hint="eastAsia" w:ascii="Times New Roman"/>
          <w:kern w:val="2"/>
          <w:sz w:val="24"/>
          <w:szCs w:val="24"/>
        </w:rPr>
        <w:t>）</w:t>
      </w:r>
    </w:p>
    <w:p w14:paraId="3653AB58">
      <w:pPr>
        <w:pStyle w:val="29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ascii="Times New Roman"/>
          <w:kern w:val="2"/>
          <w:sz w:val="24"/>
          <w:szCs w:val="24"/>
        </w:rPr>
        <w:t>式中：</w:t>
      </w:r>
    </w:p>
    <w:p w14:paraId="343E7FB9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57" o:spt="75" type="#_x0000_t75" style="height:12.8pt;width:20.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3" ShapeID="_x0000_i1057" DrawAspect="Content" ObjectID="_1468075758" r:id="rId81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仪器</w:t>
      </w:r>
      <w:r>
        <w:rPr>
          <w:rFonts w:hint="eastAsia" w:ascii="宋体" w:hAnsi="宋体" w:eastAsia="宋体" w:cs="Times New Roman"/>
          <w:sz w:val="24"/>
          <w:szCs w:val="24"/>
        </w:rPr>
        <w:t>断裂比强度</w:t>
      </w:r>
      <w:r>
        <w:rPr>
          <w:rFonts w:hint="eastAsia" w:ascii="Times New Roman"/>
          <w:kern w:val="2"/>
          <w:sz w:val="24"/>
          <w:szCs w:val="24"/>
        </w:rPr>
        <w:t>示值误差；</w:t>
      </w:r>
    </w:p>
    <w:p w14:paraId="027A10A2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58" o:spt="75" type="#_x0000_t75" style="height:15.7pt;width:13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58" DrawAspect="Content" ObjectID="_1468075759" r:id="rId83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各个标准样品仪器测得的</w:t>
      </w:r>
      <w:r>
        <w:rPr>
          <w:rFonts w:hint="eastAsia" w:ascii="宋体" w:hAnsi="宋体" w:eastAsia="宋体" w:cs="Times New Roman"/>
          <w:sz w:val="24"/>
          <w:szCs w:val="24"/>
        </w:rPr>
        <w:t>断裂比强度</w:t>
      </w:r>
      <w:r>
        <w:rPr>
          <w:rFonts w:hint="eastAsia" w:ascii="Times New Roman"/>
          <w:kern w:val="2"/>
          <w:sz w:val="24"/>
          <w:szCs w:val="24"/>
        </w:rPr>
        <w:t>示值结果的平均值；</w:t>
      </w:r>
    </w:p>
    <w:p w14:paraId="0F52B803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12"/>
          <w:sz w:val="24"/>
          <w:szCs w:val="24"/>
        </w:rPr>
        <w:object>
          <v:shape id="_x0000_i1059" o:spt="75" type="#_x0000_t75" style="height:17.7pt;width:15.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59" DrawAspect="Content" ObjectID="_1468075760" r:id="rId85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</w:t>
      </w:r>
      <w:r>
        <w:rPr>
          <w:rFonts w:hint="eastAsia" w:ascii="宋体" w:hAnsi="宋体" w:eastAsia="宋体" w:cs="Times New Roman"/>
          <w:sz w:val="24"/>
          <w:szCs w:val="24"/>
        </w:rPr>
        <w:t>断裂比强度</w:t>
      </w:r>
      <w:r>
        <w:rPr>
          <w:rFonts w:hint="eastAsia" w:ascii="Times New Roman"/>
          <w:kern w:val="2"/>
          <w:sz w:val="24"/>
          <w:szCs w:val="24"/>
        </w:rPr>
        <w:t>标准值。</w:t>
      </w:r>
    </w:p>
    <w:p w14:paraId="707EC3C7">
      <w:pPr>
        <w:spacing w:line="360" w:lineRule="auto"/>
        <w:rPr>
          <w:rFonts w:ascii="宋体" w:hAnsi="宋体" w:eastAsia="宋体"/>
          <w:kern w:val="0"/>
          <w:sz w:val="24"/>
        </w:rPr>
      </w:pPr>
      <w:bookmarkStart w:id="55" w:name="马克隆"/>
      <w:r>
        <w:rPr>
          <w:rFonts w:hint="eastAsia" w:ascii="宋体" w:hAnsi="宋体"/>
          <w:kern w:val="0"/>
          <w:sz w:val="24"/>
          <w:lang w:val="en-US" w:eastAsia="zh-CN"/>
        </w:rPr>
        <w:t xml:space="preserve">7.6  </w:t>
      </w:r>
      <w:r>
        <w:rPr>
          <w:rFonts w:hint="eastAsia" w:ascii="宋体" w:hAnsi="宋体" w:eastAsia="宋体"/>
          <w:kern w:val="0"/>
          <w:sz w:val="24"/>
        </w:rPr>
        <w:t>马克隆值示值误差</w:t>
      </w:r>
    </w:p>
    <w:bookmarkEnd w:id="55"/>
    <w:p w14:paraId="4BF4B41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选定仪器马克隆校准程序。分别称量检测</w:t>
      </w:r>
      <w:r>
        <w:rPr>
          <w:rFonts w:hint="eastAsia"/>
          <w:sz w:val="24"/>
          <w:lang w:val="en-GB"/>
        </w:rPr>
        <w:t>低值及高值两种马克隆标准棉样各三次，</w:t>
      </w:r>
      <w:r>
        <w:rPr>
          <w:rFonts w:hint="eastAsia"/>
          <w:sz w:val="24"/>
        </w:rPr>
        <w:t>校</w:t>
      </w:r>
    </w:p>
    <w:p w14:paraId="43353C39">
      <w:pPr>
        <w:spacing w:line="360" w:lineRule="auto"/>
        <w:rPr>
          <w:sz w:val="24"/>
        </w:rPr>
      </w:pPr>
      <w:r>
        <w:rPr>
          <w:rFonts w:hint="eastAsia"/>
          <w:sz w:val="24"/>
        </w:rPr>
        <w:t>准棉花高低马克隆值之差应不小于2.5。</w:t>
      </w:r>
      <w:r>
        <w:rPr>
          <w:rFonts w:hint="eastAsia"/>
          <w:sz w:val="24"/>
          <w:lang w:val="en-GB"/>
        </w:rPr>
        <w:t>同一样品检测三次后应废弃。</w:t>
      </w:r>
      <w:r>
        <w:rPr>
          <w:rFonts w:hint="eastAsia"/>
          <w:sz w:val="24"/>
        </w:rPr>
        <w:t>棉花马克隆测量值结果的平均值与标准值</w:t>
      </w:r>
      <w:r>
        <w:rPr>
          <w:position w:val="-12"/>
          <w:sz w:val="24"/>
        </w:rPr>
        <w:object>
          <v:shape id="_x0000_i1060" o:spt="75" type="#_x0000_t75" style="height:17.7pt;width:20.4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0" DrawAspect="Content" ObjectID="_1468075761" r:id="rId87">
            <o:LockedField>false</o:LockedField>
          </o:OLEObject>
        </w:object>
      </w:r>
      <w:r>
        <w:rPr>
          <w:rFonts w:hint="eastAsia"/>
          <w:sz w:val="24"/>
        </w:rPr>
        <w:t>之间的差值即为每个标准样品的的马克隆值示值误差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见公式（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）。</w:t>
      </w:r>
      <w:r>
        <w:rPr>
          <w:rFonts w:hint="eastAsia"/>
          <w:sz w:val="24"/>
          <w:lang w:eastAsia="zh-CN"/>
        </w:rPr>
        <w:t>在</w:t>
      </w:r>
      <w:r>
        <w:rPr>
          <w:rFonts w:hint="eastAsia"/>
          <w:sz w:val="24"/>
        </w:rPr>
        <w:t>2次马克隆测量值示值误差</w:t>
      </w:r>
      <w:r>
        <w:rPr>
          <w:rFonts w:hint="eastAsia"/>
          <w:sz w:val="24"/>
          <w:lang w:eastAsia="zh-CN"/>
        </w:rPr>
        <w:t>中取</w:t>
      </w:r>
      <w:r>
        <w:rPr>
          <w:rFonts w:hint="eastAsia"/>
          <w:sz w:val="24"/>
        </w:rPr>
        <w:t>绝对值最大的示值误差</w:t>
      </w:r>
      <w:r>
        <w:rPr>
          <w:rFonts w:hint="eastAsia"/>
          <w:sz w:val="24"/>
          <w:lang w:eastAsia="zh-CN"/>
        </w:rPr>
        <w:t>作</w:t>
      </w:r>
      <w:r>
        <w:rPr>
          <w:rFonts w:hint="eastAsia"/>
          <w:sz w:val="24"/>
        </w:rPr>
        <w:t>为</w:t>
      </w:r>
      <w:r>
        <w:rPr>
          <w:rFonts w:hint="eastAsia"/>
          <w:sz w:val="24"/>
          <w:lang w:eastAsia="zh-CN"/>
        </w:rPr>
        <w:t>校准结果</w:t>
      </w:r>
      <w:r>
        <w:rPr>
          <w:rFonts w:hint="eastAsia"/>
          <w:sz w:val="24"/>
        </w:rPr>
        <w:t>。</w:t>
      </w:r>
    </w:p>
    <w:p w14:paraId="28F3EAFA">
      <w:pPr>
        <w:pStyle w:val="29"/>
        <w:ind w:firstLine="480"/>
        <w:jc w:val="right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12"/>
          <w:sz w:val="24"/>
          <w:szCs w:val="24"/>
        </w:rPr>
        <w:object>
          <v:shape id="_x0000_i1061" o:spt="75" type="#_x0000_t75" style="height:20pt;width:73.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3" ShapeID="_x0000_i1061" DrawAspect="Content" ObjectID="_1468075762" r:id="rId89">
            <o:LockedField>false</o:LockedField>
          </o:OLEObject>
        </w:object>
      </w:r>
      <w:r>
        <w:rPr>
          <w:rFonts w:hint="eastAsia" w:ascii="Times New Roman"/>
          <w:kern w:val="2"/>
          <w:position w:val="-12"/>
          <w:sz w:val="24"/>
          <w:szCs w:val="24"/>
        </w:rPr>
        <w:t xml:space="preserve">                             </w:t>
      </w:r>
      <w:r>
        <w:rPr>
          <w:rFonts w:hint="eastAsia" w:ascii="Times New Roman"/>
          <w:kern w:val="2"/>
          <w:sz w:val="24"/>
          <w:szCs w:val="24"/>
        </w:rPr>
        <w:t>（</w:t>
      </w:r>
      <w:r>
        <w:rPr>
          <w:rFonts w:hint="eastAsia" w:ascii="Times New Roman"/>
          <w:kern w:val="2"/>
          <w:sz w:val="24"/>
          <w:szCs w:val="24"/>
          <w:lang w:val="en-US" w:eastAsia="zh-CN"/>
        </w:rPr>
        <w:t>7</w:t>
      </w:r>
      <w:r>
        <w:rPr>
          <w:rFonts w:hint="eastAsia" w:ascii="Times New Roman"/>
          <w:kern w:val="2"/>
          <w:sz w:val="24"/>
          <w:szCs w:val="24"/>
        </w:rPr>
        <w:t>）</w:t>
      </w:r>
    </w:p>
    <w:p w14:paraId="609A4B54">
      <w:pPr>
        <w:pStyle w:val="29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ascii="Times New Roman"/>
          <w:kern w:val="2"/>
          <w:sz w:val="24"/>
          <w:szCs w:val="24"/>
        </w:rPr>
        <w:t>式中：</w:t>
      </w:r>
    </w:p>
    <w:p w14:paraId="07ED21EB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i/>
          <w:iCs/>
          <w:kern w:val="2"/>
          <w:position w:val="-4"/>
          <w:sz w:val="24"/>
          <w:szCs w:val="24"/>
        </w:rPr>
        <w:object>
          <v:shape id="_x0000_i1062" o:spt="75" type="#_x0000_t75" style="height:13.2pt;width:25.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3" ShapeID="_x0000_i1062" DrawAspect="Content" ObjectID="_1468075763" r:id="rId91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仪器马克隆值示值误差；</w:t>
      </w:r>
    </w:p>
    <w:p w14:paraId="7AA4B34F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63" o:spt="75" type="#_x0000_t75" style="height:18.65pt;width:19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63" DrawAspect="Content" ObjectID="_1468075764" r:id="rId93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各个标准样品仪器测得的马克隆值结果的平均值；</w:t>
      </w:r>
    </w:p>
    <w:p w14:paraId="1930B94B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12"/>
          <w:sz w:val="24"/>
          <w:szCs w:val="24"/>
        </w:rPr>
        <w:object>
          <v:shape id="_x0000_i1064" o:spt="75" type="#_x0000_t75" style="height:18pt;width:2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64" DrawAspect="Content" ObjectID="_1468075765" r:id="rId95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各个标准样品马克隆值标准值。</w:t>
      </w:r>
    </w:p>
    <w:p w14:paraId="0EA39C23">
      <w:pPr>
        <w:spacing w:line="360" w:lineRule="auto"/>
        <w:outlineLvl w:val="0"/>
        <w:rPr>
          <w:rFonts w:ascii="黑体" w:hAnsi="黑体" w:eastAsia="黑体" w:cs="黑体"/>
          <w:sz w:val="24"/>
        </w:rPr>
      </w:pPr>
      <w:bookmarkStart w:id="56" w:name="_Toc22899"/>
      <w:bookmarkStart w:id="57" w:name="_Toc29877"/>
      <w:r>
        <w:rPr>
          <w:rFonts w:hint="eastAsia" w:ascii="黑体" w:hAnsi="黑体" w:eastAsia="黑体" w:cs="黑体"/>
          <w:sz w:val="24"/>
          <w:lang w:val="en-US" w:eastAsia="zh-CN"/>
        </w:rPr>
        <w:t>8</w:t>
      </w:r>
      <w:r>
        <w:rPr>
          <w:rFonts w:hint="eastAsia" w:ascii="黑体" w:hAnsi="黑体" w:eastAsia="黑体" w:cs="黑体"/>
          <w:sz w:val="24"/>
        </w:rPr>
        <w:t xml:space="preserve">  校准结果</w:t>
      </w:r>
      <w:bookmarkEnd w:id="31"/>
      <w:r>
        <w:rPr>
          <w:rFonts w:hint="eastAsia" w:ascii="黑体" w:hAnsi="黑体" w:eastAsia="黑体" w:cs="黑体"/>
          <w:sz w:val="24"/>
        </w:rPr>
        <w:t>的处理</w:t>
      </w:r>
      <w:bookmarkEnd w:id="56"/>
      <w:bookmarkEnd w:id="57"/>
      <w:r>
        <w:rPr>
          <w:rFonts w:hint="eastAsia" w:ascii="黑体" w:hAnsi="黑体" w:eastAsia="黑体" w:cs="黑体"/>
          <w:sz w:val="24"/>
        </w:rPr>
        <w:tab/>
      </w:r>
    </w:p>
    <w:p w14:paraId="500402F5">
      <w:pPr>
        <w:spacing w:line="360" w:lineRule="auto"/>
        <w:ind w:firstLine="480" w:firstLineChars="200"/>
        <w:rPr>
          <w:sz w:val="24"/>
        </w:rPr>
      </w:pPr>
      <w:bookmarkStart w:id="58" w:name="_Toc3357"/>
      <w:r>
        <w:rPr>
          <w:sz w:val="24"/>
        </w:rPr>
        <w:t>校准后应出具校准证书</w:t>
      </w:r>
      <w:bookmarkEnd w:id="58"/>
      <w:bookmarkStart w:id="59" w:name="_Toc350158483"/>
      <w:bookmarkStart w:id="60" w:name="_Toc8376"/>
      <w:r>
        <w:rPr>
          <w:rFonts w:hint="eastAsia"/>
          <w:sz w:val="24"/>
        </w:rPr>
        <w:t>。校准证书应包含校准结果以及测量不确定度，测量不确定度评定可参考附录A。校准证书应符合JJF1071-2010中5.12的要求。</w:t>
      </w:r>
    </w:p>
    <w:p w14:paraId="6AB19F5A">
      <w:pPr>
        <w:spacing w:line="360" w:lineRule="auto"/>
        <w:ind w:firstLine="480" w:firstLineChars="2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</w:rPr>
        <w:t>校准证书内容及内页格式可参考附录B</w:t>
      </w:r>
      <w:r>
        <w:rPr>
          <w:rFonts w:hint="eastAsia"/>
          <w:sz w:val="24"/>
          <w:lang w:eastAsia="zh-CN"/>
        </w:rPr>
        <w:t>。</w:t>
      </w:r>
    </w:p>
    <w:p w14:paraId="7A859EB8">
      <w:pPr>
        <w:spacing w:line="360" w:lineRule="auto"/>
        <w:outlineLvl w:val="0"/>
        <w:rPr>
          <w:rFonts w:ascii="黑体" w:hAnsi="黑体" w:eastAsia="黑体" w:cs="黑体"/>
          <w:sz w:val="24"/>
        </w:rPr>
      </w:pPr>
      <w:bookmarkStart w:id="61" w:name="_Toc15556"/>
      <w:r>
        <w:rPr>
          <w:rFonts w:hint="eastAsia" w:ascii="黑体" w:hAnsi="黑体" w:eastAsia="黑体" w:cs="黑体"/>
          <w:sz w:val="24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</w:rPr>
        <w:t xml:space="preserve">  复校时间间隔</w:t>
      </w:r>
      <w:bookmarkEnd w:id="59"/>
      <w:bookmarkEnd w:id="60"/>
      <w:bookmarkEnd w:id="61"/>
    </w:p>
    <w:p w14:paraId="0FC37D71">
      <w:pPr>
        <w:spacing w:line="360" w:lineRule="auto"/>
        <w:ind w:firstLine="480" w:firstLineChars="200"/>
        <w:rPr>
          <w:sz w:val="24"/>
        </w:rPr>
      </w:pPr>
      <w:bookmarkStart w:id="62" w:name="_Toc29872"/>
      <w:r>
        <w:rPr>
          <w:rFonts w:hint="eastAsia"/>
          <w:sz w:val="24"/>
        </w:rPr>
        <w:t>由于复校时间间隔的长短是由仪器的使用情况﹑使用者﹑仪器本身质量等诸因素所决</w:t>
      </w:r>
      <w:bookmarkEnd w:id="62"/>
      <w:bookmarkStart w:id="63" w:name="_Toc15214"/>
      <w:r>
        <w:rPr>
          <w:rFonts w:hint="eastAsia"/>
          <w:sz w:val="24"/>
        </w:rPr>
        <w:t>定的，因此，送校单位可根据实际使用情况自主决定复校时间间隔，一般建议为1年。</w:t>
      </w:r>
      <w:bookmarkEnd w:id="63"/>
    </w:p>
    <w:p w14:paraId="177E34D0">
      <w:pPr>
        <w:spacing w:line="360" w:lineRule="auto"/>
        <w:ind w:firstLine="480" w:firstLineChars="200"/>
        <w:rPr>
          <w:rFonts w:hAnsi="宋体"/>
          <w:sz w:val="24"/>
        </w:rPr>
      </w:pPr>
    </w:p>
    <w:p w14:paraId="2A9B2055">
      <w:pPr>
        <w:spacing w:line="360" w:lineRule="auto"/>
        <w:ind w:firstLine="480" w:firstLineChars="200"/>
        <w:rPr>
          <w:rFonts w:hAnsi="宋体"/>
          <w:sz w:val="24"/>
        </w:rPr>
      </w:pPr>
    </w:p>
    <w:p w14:paraId="274B2A9A">
      <w:pPr>
        <w:pStyle w:val="36"/>
        <w:jc w:val="left"/>
      </w:pPr>
    </w:p>
    <w:p w14:paraId="4ED31ED0">
      <w:pPr>
        <w:pStyle w:val="36"/>
        <w:jc w:val="left"/>
      </w:pPr>
    </w:p>
    <w:p w14:paraId="7F97EBB0">
      <w:pPr>
        <w:pStyle w:val="36"/>
        <w:jc w:val="left"/>
      </w:pPr>
    </w:p>
    <w:p w14:paraId="6C559EA6">
      <w:pPr>
        <w:pStyle w:val="36"/>
        <w:jc w:val="left"/>
      </w:pPr>
    </w:p>
    <w:p w14:paraId="09CD1F2F">
      <w:pPr>
        <w:pStyle w:val="36"/>
        <w:jc w:val="left"/>
      </w:pPr>
    </w:p>
    <w:p w14:paraId="4B72A6D7">
      <w:pPr>
        <w:pStyle w:val="36"/>
        <w:jc w:val="left"/>
      </w:pPr>
    </w:p>
    <w:p w14:paraId="49EA3703">
      <w:pPr>
        <w:pStyle w:val="36"/>
        <w:jc w:val="left"/>
      </w:pPr>
    </w:p>
    <w:p w14:paraId="3DB00990">
      <w:pPr>
        <w:pStyle w:val="36"/>
        <w:jc w:val="left"/>
      </w:pPr>
    </w:p>
    <w:p w14:paraId="171F70B6">
      <w:pPr>
        <w:pStyle w:val="36"/>
        <w:jc w:val="left"/>
      </w:pPr>
    </w:p>
    <w:p w14:paraId="34227A58">
      <w:pPr>
        <w:pStyle w:val="36"/>
        <w:jc w:val="left"/>
      </w:pPr>
    </w:p>
    <w:p w14:paraId="6FE7D017">
      <w:pPr>
        <w:widowControl/>
        <w:jc w:val="left"/>
        <w:outlineLvl w:val="0"/>
        <w:rPr>
          <w:rFonts w:ascii="黑体" w:hAnsi="黑体" w:eastAsia="黑体"/>
          <w:sz w:val="28"/>
          <w:szCs w:val="28"/>
        </w:rPr>
      </w:pPr>
      <w:bookmarkStart w:id="64" w:name="_Toc20834"/>
      <w:r>
        <w:rPr>
          <w:rFonts w:hint="eastAsia" w:ascii="黑体" w:hAnsi="黑体" w:eastAsia="黑体"/>
          <w:sz w:val="28"/>
          <w:szCs w:val="28"/>
        </w:rPr>
        <w:br w:type="page"/>
      </w:r>
      <w:r>
        <w:rPr>
          <w:rFonts w:hint="eastAsia" w:ascii="黑体" w:hAnsi="黑体" w:eastAsia="黑体"/>
          <w:sz w:val="28"/>
          <w:szCs w:val="28"/>
        </w:rPr>
        <w:t>附录A：</w:t>
      </w:r>
      <w:bookmarkEnd w:id="64"/>
    </w:p>
    <w:p w14:paraId="0AC30184">
      <w:pPr>
        <w:spacing w:line="4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纤维平均长度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示值</w:t>
      </w:r>
      <w:r>
        <w:rPr>
          <w:rFonts w:hint="eastAsia" w:ascii="黑体" w:hAnsi="黑体" w:eastAsia="黑体"/>
          <w:sz w:val="32"/>
          <w:szCs w:val="32"/>
        </w:rPr>
        <w:t>误差测量结果不确定度评定（示例）</w:t>
      </w:r>
    </w:p>
    <w:p w14:paraId="722C9099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4199FDAB">
      <w:pPr>
        <w:spacing w:line="360" w:lineRule="auto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A.1 概述</w:t>
      </w:r>
    </w:p>
    <w:p w14:paraId="2A00ADAC">
      <w:pPr>
        <w:spacing w:line="360" w:lineRule="auto"/>
        <w:ind w:firstLine="480" w:firstLineChars="200"/>
        <w:rPr>
          <w:rFonts w:hint="eastAsia" w:eastAsia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依据本规范，纤维平均长度示值误差选用</w:t>
      </w:r>
      <w:r>
        <w:rPr>
          <w:rFonts w:hint="eastAsia" w:ascii="宋体" w:hAnsi="宋体" w:eastAsia="宋体" w:cs="Times New Roman"/>
          <w:sz w:val="24"/>
          <w:szCs w:val="24"/>
        </w:rPr>
        <w:t>国家校准棉花标准样品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进行测量，在</w:t>
      </w:r>
      <w:r>
        <w:rPr>
          <w:rFonts w:hint="eastAsia" w:ascii="宋体" w:hAnsi="宋体" w:eastAsia="宋体" w:cs="Times New Roman"/>
          <w:sz w:val="24"/>
          <w:szCs w:val="24"/>
        </w:rPr>
        <w:t>取样舱内放入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标准棉花，注意每次取样要改变取样位置，从仪器面板上读出</w:t>
      </w:r>
      <w:r>
        <w:rPr>
          <w:rFonts w:hint="eastAsia" w:ascii="宋体" w:hAnsi="宋体" w:eastAsia="宋体" w:cs="Times New Roman"/>
          <w:sz w:val="24"/>
          <w:szCs w:val="24"/>
        </w:rPr>
        <w:t>纤维平均长度示值</w:t>
      </w:r>
      <w:r>
        <w:rPr>
          <w:rFonts w:hint="eastAsia" w:ascii="宋体" w:hAnsi="宋体" w:cs="Times New Roman"/>
          <w:sz w:val="24"/>
          <w:szCs w:val="24"/>
          <w:lang w:eastAsia="zh-CN"/>
        </w:rPr>
        <w:t>，读取的示值结果的平均值</w:t>
      </w:r>
      <w:r>
        <w:rPr>
          <w:rFonts w:hint="eastAsia" w:ascii="宋体" w:hAnsi="宋体" w:eastAsia="宋体" w:cs="Times New Roman"/>
          <w:sz w:val="24"/>
          <w:szCs w:val="24"/>
        </w:rPr>
        <w:t>与</w:t>
      </w:r>
      <w:r>
        <w:rPr>
          <w:rFonts w:hint="eastAsia" w:ascii="宋体" w:hAnsi="宋体" w:cs="Times New Roman"/>
          <w:sz w:val="24"/>
          <w:szCs w:val="24"/>
          <w:lang w:eastAsia="zh-CN"/>
        </w:rPr>
        <w:t>棉花的</w:t>
      </w:r>
      <w:r>
        <w:rPr>
          <w:rFonts w:hint="eastAsia" w:ascii="宋体" w:hAnsi="宋体" w:eastAsia="宋体" w:cs="Times New Roman"/>
          <w:sz w:val="24"/>
          <w:szCs w:val="24"/>
        </w:rPr>
        <w:t>标准值</w:t>
      </w:r>
      <w:r>
        <w:rPr>
          <w:rFonts w:ascii="Times New Roman"/>
          <w:kern w:val="2"/>
          <w:position w:val="-12"/>
          <w:sz w:val="24"/>
          <w:szCs w:val="24"/>
        </w:rPr>
        <w:object>
          <v:shape id="_x0000_i1065" o:spt="75" type="#_x0000_t75" style="height:17.7pt;width:15.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65" DrawAspect="Content" ObjectID="_1468075766" r:id="rId97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zCs w:val="24"/>
        </w:rPr>
        <w:t>之间的差值即为纤维平均长度示值误差</w:t>
      </w:r>
      <w:r>
        <w:rPr>
          <w:rFonts w:hint="eastAsia" w:ascii="宋体" w:hAnsi="宋体" w:cs="Times New Roman"/>
          <w:sz w:val="24"/>
          <w:szCs w:val="24"/>
          <w:lang w:eastAsia="zh-CN"/>
        </w:rPr>
        <w:t>。</w:t>
      </w:r>
    </w:p>
    <w:p w14:paraId="3D5E2066">
      <w:pPr>
        <w:spacing w:line="360" w:lineRule="auto"/>
        <w:rPr>
          <w:rFonts w:hint="eastAsia" w:eastAsia="宋体"/>
          <w:kern w:val="0"/>
          <w:sz w:val="24"/>
          <w:highlight w:val="none"/>
          <w:lang w:eastAsia="zh-CN"/>
        </w:rPr>
      </w:pPr>
      <w:r>
        <w:rPr>
          <w:rFonts w:hint="eastAsia"/>
          <w:kern w:val="0"/>
          <w:sz w:val="24"/>
        </w:rPr>
        <w:t>A.</w:t>
      </w:r>
      <w:r>
        <w:rPr>
          <w:rFonts w:hint="eastAsia"/>
          <w:kern w:val="0"/>
          <w:sz w:val="24"/>
          <w:lang w:val="en-US" w:eastAsia="zh-CN"/>
        </w:rPr>
        <w:t xml:space="preserve">2 </w:t>
      </w:r>
      <w:r>
        <w:rPr>
          <w:rFonts w:hint="eastAsia"/>
          <w:kern w:val="0"/>
          <w:sz w:val="24"/>
        </w:rPr>
        <w:t>测</w:t>
      </w:r>
      <w:r>
        <w:rPr>
          <w:rFonts w:hint="eastAsia"/>
          <w:kern w:val="0"/>
          <w:sz w:val="24"/>
          <w:highlight w:val="none"/>
        </w:rPr>
        <w:t>量模型</w:t>
      </w:r>
    </w:p>
    <w:p w14:paraId="4A1FEA7C">
      <w:pPr>
        <w:spacing w:line="360" w:lineRule="auto"/>
        <w:ind w:firstLine="480" w:firstLineChars="200"/>
        <w:rPr>
          <w:kern w:val="0"/>
          <w:sz w:val="24"/>
          <w:highlight w:val="none"/>
        </w:rPr>
      </w:pPr>
      <w:r>
        <w:rPr>
          <w:rFonts w:hint="eastAsia"/>
          <w:kern w:val="0"/>
          <w:sz w:val="24"/>
          <w:highlight w:val="none"/>
        </w:rPr>
        <w:t>仪器纤维平均长度的示值误差</w:t>
      </w:r>
    </w:p>
    <w:p w14:paraId="1B4DB5CF">
      <w:pPr>
        <w:pStyle w:val="29"/>
        <w:ind w:firstLine="480"/>
        <w:jc w:val="right"/>
        <w:rPr>
          <w:rFonts w:ascii="Times New Roman"/>
          <w:kern w:val="2"/>
          <w:sz w:val="24"/>
          <w:szCs w:val="24"/>
        </w:rPr>
      </w:pPr>
      <w:r>
        <w:rPr>
          <w:rFonts w:ascii="Times New Roman" w:eastAsia="宋体" w:cs="Times New Roman"/>
          <w:kern w:val="2"/>
          <w:position w:val="-12"/>
          <w:sz w:val="24"/>
          <w:szCs w:val="24"/>
        </w:rPr>
        <w:object>
          <v:shape id="_x0000_i1066" o:spt="75" type="#_x0000_t75" style="height:20pt;width:5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66" DrawAspect="Content" ObjectID="_1468075767" r:id="rId98">
            <o:LockedField>false</o:LockedField>
          </o:OLEObject>
        </w:object>
      </w:r>
      <w:r>
        <w:rPr>
          <w:rFonts w:hint="eastAsia" w:ascii="Times New Roman"/>
          <w:kern w:val="2"/>
          <w:position w:val="-12"/>
          <w:sz w:val="24"/>
          <w:szCs w:val="24"/>
          <w:highlight w:val="none"/>
        </w:rPr>
        <w:t xml:space="preserve">         </w:t>
      </w:r>
      <w:r>
        <w:rPr>
          <w:rFonts w:hint="eastAsia" w:ascii="Times New Roman"/>
          <w:kern w:val="2"/>
          <w:position w:val="-12"/>
          <w:sz w:val="24"/>
          <w:szCs w:val="24"/>
        </w:rPr>
        <w:t xml:space="preserve">                 </w:t>
      </w:r>
      <w:r>
        <w:rPr>
          <w:rFonts w:hint="eastAsia" w:ascii="Times New Roman"/>
          <w:kern w:val="2"/>
          <w:sz w:val="24"/>
          <w:szCs w:val="24"/>
        </w:rPr>
        <w:t>（A.1）</w:t>
      </w:r>
    </w:p>
    <w:p w14:paraId="2B47CAB1">
      <w:pPr>
        <w:pStyle w:val="29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ascii="Times New Roman"/>
          <w:kern w:val="2"/>
          <w:sz w:val="24"/>
          <w:szCs w:val="24"/>
        </w:rPr>
        <w:t>式中：</w:t>
      </w:r>
    </w:p>
    <w:p w14:paraId="0F3E1EE3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position w:val="-4"/>
          <w:sz w:val="24"/>
          <w:szCs w:val="24"/>
        </w:rPr>
        <w:object>
          <v:shape id="_x0000_i1067" o:spt="75" type="#_x0000_t75" style="height:12.8pt;width:19.3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3" ShapeID="_x0000_i1067" DrawAspect="Content" ObjectID="_1468075768" r:id="rId99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仪器纤维平均长度示值误差；</w:t>
      </w:r>
    </w:p>
    <w:p w14:paraId="2E58CC26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hAnsi="宋体"/>
          <w:position w:val="-4"/>
          <w:sz w:val="24"/>
        </w:rPr>
        <w:object>
          <v:shape id="_x0000_i1068" o:spt="75" type="#_x0000_t75" style="height:16.4pt;width:11.5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68" DrawAspect="Content" ObjectID="_1468075769" r:id="rId101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各个标准样品仪器测得的纤维平均长度示值结果的平均值；</w:t>
      </w:r>
    </w:p>
    <w:p w14:paraId="3FBF8164">
      <w:pPr>
        <w:pStyle w:val="29"/>
        <w:adjustRightInd w:val="0"/>
        <w:snapToGrid w:val="0"/>
        <w:spacing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hint="eastAsia" w:hAnsi="宋体"/>
          <w:position w:val="-12"/>
          <w:sz w:val="24"/>
        </w:rPr>
        <w:object>
          <v:shape id="_x0000_i1069" o:spt="75" type="#_x0000_t75" style="height:18.45pt;width:14.6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69" DrawAspect="Content" ObjectID="_1468075770" r:id="rId102">
            <o:LockedField>false</o:LockedField>
          </o:OLEObject>
        </w:object>
      </w:r>
      <w:r>
        <w:rPr>
          <w:rFonts w:hint="eastAsia" w:hAnsi="宋体"/>
          <w:w w:val="200"/>
          <w:sz w:val="24"/>
        </w:rPr>
        <w:t>—</w:t>
      </w:r>
      <w:r>
        <w:rPr>
          <w:rFonts w:hint="eastAsia" w:ascii="Times New Roman"/>
          <w:kern w:val="2"/>
          <w:sz w:val="24"/>
          <w:szCs w:val="24"/>
        </w:rPr>
        <w:t>各个标准样品纤维平均长度标准值。</w:t>
      </w:r>
    </w:p>
    <w:p w14:paraId="10CA3E14">
      <w:pPr>
        <w:spacing w:line="360" w:lineRule="auto"/>
        <w:rPr>
          <w:rFonts w:hAnsi="宋体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  <w:lang w:val="en-US" w:eastAsia="zh-CN"/>
        </w:rPr>
        <w:t xml:space="preserve">3 </w:t>
      </w:r>
      <w:r>
        <w:rPr>
          <w:rFonts w:hint="eastAsia" w:hAnsi="宋体"/>
          <w:sz w:val="24"/>
        </w:rPr>
        <w:t>合成标准</w:t>
      </w:r>
      <w:r>
        <w:rPr>
          <w:rFonts w:hint="eastAsia"/>
          <w:kern w:val="0"/>
          <w:sz w:val="24"/>
        </w:rPr>
        <w:t>不确定度</w:t>
      </w:r>
      <w:r>
        <w:rPr>
          <w:rFonts w:hint="eastAsia" w:hAnsi="宋体"/>
          <w:sz w:val="24"/>
        </w:rPr>
        <w:t>计算公式</w:t>
      </w:r>
    </w:p>
    <w:p w14:paraId="58B57568">
      <w:pPr>
        <w:spacing w:line="360" w:lineRule="auto"/>
        <w:ind w:firstLine="480" w:firstLineChars="200"/>
        <w:rPr>
          <w:color w:val="FF0000"/>
        </w:rPr>
      </w:pPr>
      <w:r>
        <w:rPr>
          <w:rFonts w:hint="eastAsia"/>
          <w:kern w:val="0"/>
          <w:sz w:val="24"/>
        </w:rPr>
        <w:t>仪器纤维平均长度的示值误差</w:t>
      </w:r>
      <w:r>
        <w:rPr>
          <w:color w:val="FF0000"/>
          <w:position w:val="-4"/>
        </w:rPr>
        <w:object>
          <v:shape id="_x0000_i1070" o:spt="75" type="#_x0000_t75" style="height:13.55pt;width:1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70" DrawAspect="Content" ObjectID="_1468075771" r:id="rId103">
            <o:LockedField>false</o:LockedField>
          </o:OLEObject>
        </w:object>
      </w:r>
      <w:r>
        <w:rPr>
          <w:rFonts w:hint="eastAsia" w:hAnsi="宋体"/>
          <w:sz w:val="24"/>
        </w:rPr>
        <w:t>的合成标准不确定度可由式（A.2）计算得出：</w:t>
      </w:r>
    </w:p>
    <w:p w14:paraId="22830A6C">
      <w:pPr>
        <w:pStyle w:val="29"/>
        <w:spacing w:line="360" w:lineRule="auto"/>
        <w:ind w:firstLine="0" w:firstLineChars="0"/>
        <w:jc w:val="right"/>
        <w:rPr>
          <w:rFonts w:hAnsi="宋体"/>
          <w:sz w:val="24"/>
          <w:szCs w:val="24"/>
        </w:rPr>
      </w:pPr>
      <w:r>
        <w:rPr>
          <w:rFonts w:hAnsi="宋体"/>
          <w:position w:val="-32"/>
          <w:sz w:val="24"/>
          <w:szCs w:val="24"/>
        </w:rPr>
        <w:object>
          <v:shape id="_x0000_i1071" o:spt="75" type="#_x0000_t75" style="height:34.7pt;width:159.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3" ShapeID="_x0000_i1071" DrawAspect="Content" ObjectID="_1468075772" r:id="rId105">
            <o:LockedField>false</o:LockedField>
          </o:OLEObject>
        </w:object>
      </w:r>
      <w:r>
        <w:rPr>
          <w:rFonts w:hint="eastAsia" w:hAnsi="宋体"/>
          <w:position w:val="-34"/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（</w:t>
      </w:r>
      <w:r>
        <w:rPr>
          <w:rFonts w:ascii="Times New Roman"/>
          <w:sz w:val="24"/>
          <w:szCs w:val="24"/>
        </w:rPr>
        <w:t>A.</w:t>
      </w:r>
      <w:r>
        <w:rPr>
          <w:rFonts w:hint="eastAsia" w:ascii="Times New Roman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</w:p>
    <w:p w14:paraId="25869943">
      <w:pPr>
        <w:spacing w:line="360" w:lineRule="auto"/>
        <w:ind w:firstLine="480" w:firstLineChars="200"/>
        <w:jc w:val="left"/>
        <w:rPr>
          <w:rFonts w:hAnsi="宋体"/>
          <w:sz w:val="24"/>
        </w:rPr>
      </w:pPr>
      <w:r>
        <w:rPr>
          <w:rFonts w:hint="eastAsia" w:hAnsi="宋体"/>
          <w:sz w:val="24"/>
        </w:rPr>
        <w:t>灵敏系数：</w:t>
      </w:r>
      <w:r>
        <w:rPr>
          <w:rFonts w:hAnsi="宋体"/>
          <w:position w:val="-26"/>
          <w:sz w:val="24"/>
        </w:rPr>
        <w:object>
          <v:shape id="_x0000_i1072" o:spt="75" type="#_x0000_t75" style="height:27.3pt;width:66.3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3" ShapeID="_x0000_i1072" DrawAspect="Content" ObjectID="_1468075773" r:id="rId107">
            <o:LockedField>false</o:LockedField>
          </o:OLEObject>
        </w:object>
      </w:r>
      <w:r>
        <w:rPr>
          <w:rFonts w:hint="eastAsia" w:hAnsi="宋体"/>
          <w:position w:val="-30"/>
          <w:sz w:val="24"/>
        </w:rPr>
        <w:t xml:space="preserve">             </w:t>
      </w:r>
      <w:r>
        <w:rPr>
          <w:rFonts w:hAnsi="宋体"/>
          <w:position w:val="-30"/>
          <w:sz w:val="24"/>
        </w:rPr>
        <w:object>
          <v:shape id="_x0000_i1073" o:spt="75" type="#_x0000_t75" style="height:29.05pt;width:76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73" DrawAspect="Content" ObjectID="_1468075774" r:id="rId109">
            <o:LockedField>false</o:LockedField>
          </o:OLEObject>
        </w:object>
      </w:r>
    </w:p>
    <w:p w14:paraId="3137FBED">
      <w:pPr>
        <w:spacing w:line="360" w:lineRule="auto"/>
        <w:rPr>
          <w:kern w:val="0"/>
          <w:sz w:val="24"/>
        </w:rPr>
      </w:pPr>
      <w:r>
        <w:rPr>
          <w:rFonts w:hint="eastAsia"/>
          <w:kern w:val="0"/>
          <w:sz w:val="24"/>
        </w:rPr>
        <w:t>A.</w:t>
      </w:r>
      <w:r>
        <w:rPr>
          <w:rFonts w:hint="eastAsia"/>
          <w:kern w:val="0"/>
          <w:sz w:val="24"/>
          <w:lang w:val="en-US" w:eastAsia="zh-CN"/>
        </w:rPr>
        <w:t xml:space="preserve">4 </w:t>
      </w:r>
      <w:r>
        <w:rPr>
          <w:rFonts w:hint="eastAsia"/>
          <w:kern w:val="0"/>
          <w:sz w:val="24"/>
        </w:rPr>
        <w:t>标准不确定度的来源和评定</w:t>
      </w:r>
    </w:p>
    <w:p w14:paraId="0FA634F5">
      <w:pPr>
        <w:spacing w:line="360" w:lineRule="auto"/>
        <w:rPr>
          <w:kern w:val="0"/>
          <w:sz w:val="24"/>
        </w:rPr>
      </w:pPr>
      <w:r>
        <w:rPr>
          <w:rFonts w:hint="eastAsia"/>
          <w:kern w:val="0"/>
          <w:sz w:val="24"/>
        </w:rPr>
        <w:t>A.</w:t>
      </w:r>
      <w:r>
        <w:rPr>
          <w:rFonts w:hint="eastAsia"/>
          <w:kern w:val="0"/>
          <w:sz w:val="24"/>
          <w:lang w:val="en-US" w:eastAsia="zh-CN"/>
        </w:rPr>
        <w:t>4</w:t>
      </w:r>
      <w:r>
        <w:rPr>
          <w:rFonts w:hint="eastAsia"/>
          <w:kern w:val="0"/>
          <w:sz w:val="24"/>
        </w:rPr>
        <w:t>.1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 w:cs="宋体"/>
          <w:sz w:val="24"/>
        </w:rPr>
        <w:t>纤维平均长度</w:t>
      </w:r>
      <w:r>
        <w:rPr>
          <w:rFonts w:hint="eastAsia" w:cs="宋体"/>
          <w:i/>
          <w:iCs/>
          <w:sz w:val="24"/>
        </w:rPr>
        <w:t>L</w:t>
      </w:r>
      <w:r>
        <w:rPr>
          <w:rFonts w:hint="eastAsia" w:cs="宋体"/>
          <w:sz w:val="24"/>
          <w:lang w:eastAsia="zh-CN"/>
        </w:rPr>
        <w:t>测量重复性</w:t>
      </w:r>
      <w:r>
        <w:rPr>
          <w:rFonts w:hint="eastAsia"/>
          <w:kern w:val="0"/>
          <w:sz w:val="24"/>
        </w:rPr>
        <w:t>引入的不确定度</w:t>
      </w:r>
      <w:r>
        <w:rPr>
          <w:rFonts w:hint="eastAsia" w:ascii="宋体" w:hAnsi="宋体"/>
          <w:sz w:val="24"/>
        </w:rPr>
        <w:t>分量</w:t>
      </w:r>
      <w:r>
        <w:rPr>
          <w:rFonts w:ascii="宋体" w:hAnsi="宋体"/>
          <w:position w:val="-10"/>
          <w:sz w:val="24"/>
        </w:rPr>
        <w:object>
          <v:shape id="_x0000_i1074" o:spt="75" type="#_x0000_t75" style="height:17.25pt;width:28.5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3" ShapeID="_x0000_i1074" DrawAspect="Content" ObjectID="_1468075775" r:id="rId111">
            <o:LockedField>false</o:LockedField>
          </o:OLEObject>
        </w:object>
      </w:r>
    </w:p>
    <w:p w14:paraId="1C90E23C"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采用A类方法进行评定，按照本规范校准方法，在相同的测量条件下，重复测量6次，得到下列一组数据：23.92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mm、23.94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mm、24.19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mm、23.7</w:t>
      </w:r>
      <w:r>
        <w:rPr>
          <w:rFonts w:hint="eastAsia"/>
          <w:kern w:val="0"/>
          <w:sz w:val="24"/>
          <w:lang w:val="en-US" w:eastAsia="zh-CN"/>
        </w:rPr>
        <w:t xml:space="preserve">8 </w:t>
      </w:r>
      <w:r>
        <w:rPr>
          <w:rFonts w:hint="eastAsia"/>
          <w:kern w:val="0"/>
          <w:sz w:val="24"/>
        </w:rPr>
        <w:t>mm、24.</w:t>
      </w:r>
      <w:r>
        <w:rPr>
          <w:rFonts w:hint="eastAsia"/>
          <w:kern w:val="0"/>
          <w:sz w:val="24"/>
          <w:lang w:val="en-US" w:eastAsia="zh-CN"/>
        </w:rPr>
        <w:t>1</w:t>
      </w:r>
      <w:r>
        <w:rPr>
          <w:rFonts w:hint="eastAsia"/>
          <w:kern w:val="0"/>
          <w:sz w:val="24"/>
        </w:rPr>
        <w:t>3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mm、23.80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 xml:space="preserve">mm。 </w:t>
      </w:r>
      <w:r>
        <w:rPr>
          <w:rFonts w:hint="eastAsia" w:ascii="宋体" w:hAnsi="宋体"/>
          <w:sz w:val="24"/>
        </w:rPr>
        <w:t>最大值与最小值之差为</w:t>
      </w:r>
      <w:r>
        <w:rPr>
          <w:rFonts w:hint="eastAsia"/>
          <w:kern w:val="0"/>
          <w:sz w:val="24"/>
        </w:rPr>
        <w:t>0.</w:t>
      </w:r>
      <w:r>
        <w:rPr>
          <w:rFonts w:hint="eastAsia"/>
          <w:kern w:val="0"/>
          <w:sz w:val="24"/>
          <w:lang w:val="en-US" w:eastAsia="zh-CN"/>
        </w:rPr>
        <w:t xml:space="preserve">41 </w:t>
      </w:r>
      <w:r>
        <w:rPr>
          <w:rFonts w:hint="eastAsia"/>
          <w:kern w:val="0"/>
          <w:sz w:val="24"/>
        </w:rPr>
        <w:t>mm</w:t>
      </w:r>
      <w:r>
        <w:rPr>
          <w:rFonts w:hint="eastAsia" w:ascii="宋体" w:hAnsi="宋体"/>
          <w:sz w:val="24"/>
        </w:rPr>
        <w:t>,对于单个测量值的实验标准偏差可按极差法</w:t>
      </w:r>
      <w:r>
        <w:rPr>
          <w:rFonts w:hint="eastAsia"/>
          <w:kern w:val="0"/>
          <w:sz w:val="24"/>
        </w:rPr>
        <w:t>进行</w:t>
      </w:r>
      <w:r>
        <w:rPr>
          <w:rFonts w:hint="eastAsia" w:ascii="宋体" w:hAnsi="宋体"/>
          <w:sz w:val="24"/>
        </w:rPr>
        <w:t>计算（系数</w:t>
      </w:r>
      <w:r>
        <w:rPr>
          <w:rFonts w:hint="eastAsia"/>
          <w:kern w:val="0"/>
          <w:sz w:val="24"/>
        </w:rPr>
        <w:t>C=2.53</w:t>
      </w:r>
      <w:r>
        <w:rPr>
          <w:rFonts w:hint="eastAsia" w:ascii="宋体" w:hAnsi="宋体"/>
          <w:sz w:val="24"/>
        </w:rPr>
        <w:t>）</w:t>
      </w:r>
      <w:r>
        <w:rPr>
          <w:rFonts w:hint="eastAsia"/>
          <w:kern w:val="0"/>
          <w:sz w:val="24"/>
        </w:rPr>
        <w:t>：</w:t>
      </w:r>
    </w:p>
    <w:p w14:paraId="203AA193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position w:val="-6"/>
          <w:sz w:val="24"/>
        </w:rPr>
        <w:object>
          <v:shape id="_x0000_i1075" o:spt="75" type="#_x0000_t75" style="height:14.25pt;width:11.3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3" ShapeID="_x0000_i1075" DrawAspect="Content" ObjectID="_1468075776" r:id="rId113">
            <o:LockedField>false</o:LockedField>
          </o:OLEObject>
        </w:object>
      </w:r>
      <w:r>
        <w:rPr>
          <w:rFonts w:hint="eastAsia" w:ascii="宋体" w:hAnsi="宋体"/>
          <w:sz w:val="24"/>
        </w:rPr>
        <w:t>=</w:t>
      </w:r>
      <w:r>
        <w:rPr>
          <w:position w:val="-24"/>
        </w:rPr>
        <w:object>
          <v:shape id="_x0000_i1076" o:spt="75" type="#_x0000_t75" style="height:31.7pt;width:106.3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3" ShapeID="_x0000_i1076" DrawAspect="Content" ObjectID="_1468075777" r:id="rId115">
            <o:LockedField>false</o:LockedField>
          </o:OLEObject>
        </w:object>
      </w:r>
    </w:p>
    <w:p w14:paraId="0A12CE2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/>
          <w:kern w:val="0"/>
          <w:sz w:val="24"/>
          <w:lang w:eastAsia="zh-CN"/>
        </w:rPr>
        <w:t>校准过程取</w:t>
      </w:r>
      <w:r>
        <w:rPr>
          <w:rFonts w:hint="eastAsia"/>
          <w:kern w:val="0"/>
          <w:sz w:val="24"/>
          <w:lang w:val="en-US" w:eastAsia="zh-CN"/>
        </w:rPr>
        <w:t>3次算术平均值作为测得值，因而</w:t>
      </w:r>
      <w:r>
        <w:rPr>
          <w:rFonts w:hint="eastAsia" w:cs="宋体"/>
          <w:sz w:val="24"/>
        </w:rPr>
        <w:t>纤维平均长度</w:t>
      </w:r>
      <w:r>
        <w:rPr>
          <w:rFonts w:hint="eastAsia" w:cs="宋体"/>
          <w:i/>
          <w:iCs/>
          <w:sz w:val="24"/>
        </w:rPr>
        <w:t>L</w:t>
      </w:r>
      <w:r>
        <w:rPr>
          <w:rFonts w:hint="eastAsia" w:cs="宋体"/>
          <w:sz w:val="24"/>
          <w:lang w:eastAsia="zh-CN"/>
        </w:rPr>
        <w:t>测量重复性</w:t>
      </w:r>
      <w:r>
        <w:rPr>
          <w:rFonts w:hint="eastAsia"/>
          <w:kern w:val="0"/>
          <w:sz w:val="24"/>
        </w:rPr>
        <w:t>引入</w:t>
      </w:r>
      <w:r>
        <w:rPr>
          <w:rFonts w:hint="eastAsia" w:ascii="宋体" w:hAnsi="宋体"/>
          <w:sz w:val="24"/>
        </w:rPr>
        <w:t>的标准不确定度分量</w:t>
      </w:r>
      <w:r>
        <w:rPr>
          <w:rFonts w:ascii="宋体" w:hAnsi="宋体"/>
          <w:position w:val="-10"/>
          <w:sz w:val="24"/>
        </w:rPr>
        <w:object>
          <v:shape id="_x0000_i1077" o:spt="75" type="#_x0000_t75" style="height:17.25pt;width:28.5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3" ShapeID="_x0000_i1077" DrawAspect="Content" ObjectID="_1468075778" r:id="rId117">
            <o:LockedField>false</o:LockedField>
          </o:OLEObject>
        </w:object>
      </w:r>
      <w:r>
        <w:rPr>
          <w:rFonts w:hint="eastAsia"/>
          <w:kern w:val="0"/>
          <w:sz w:val="24"/>
        </w:rPr>
        <w:t>为：</w:t>
      </w:r>
    </w:p>
    <w:p w14:paraId="642CE6FD">
      <w:pPr>
        <w:tabs>
          <w:tab w:val="left" w:pos="1800"/>
        </w:tabs>
        <w:spacing w:line="360" w:lineRule="auto"/>
        <w:jc w:val="center"/>
        <w:rPr>
          <w:sz w:val="24"/>
        </w:rPr>
      </w:pPr>
      <w:r>
        <w:rPr>
          <w:position w:val="-28"/>
        </w:rPr>
        <w:object>
          <v:shape id="_x0000_i1078" o:spt="75" type="#_x0000_t75" style="height:33.75pt;width:179.6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3" ShapeID="_x0000_i1078" DrawAspect="Content" ObjectID="_1468075779" r:id="rId119">
            <o:LockedField>false</o:LockedField>
          </o:OLEObject>
        </w:object>
      </w:r>
    </w:p>
    <w:p w14:paraId="0C731185">
      <w:pPr>
        <w:spacing w:line="360" w:lineRule="auto"/>
        <w:rPr>
          <w:kern w:val="0"/>
          <w:sz w:val="24"/>
        </w:rPr>
      </w:pPr>
      <w:r>
        <w:rPr>
          <w:rFonts w:hint="eastAsia"/>
          <w:kern w:val="0"/>
          <w:sz w:val="24"/>
        </w:rPr>
        <w:t>A.</w:t>
      </w:r>
      <w:r>
        <w:rPr>
          <w:rFonts w:hint="eastAsia"/>
          <w:kern w:val="0"/>
          <w:sz w:val="24"/>
          <w:lang w:val="en-US" w:eastAsia="zh-CN"/>
        </w:rPr>
        <w:t>4</w:t>
      </w:r>
      <w:r>
        <w:rPr>
          <w:rFonts w:hint="eastAsia"/>
          <w:kern w:val="0"/>
          <w:sz w:val="24"/>
        </w:rPr>
        <w:t>.2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仪器分度值引入的不确定度分量</w:t>
      </w:r>
      <w:r>
        <w:rPr>
          <w:rFonts w:ascii="宋体" w:hAnsi="宋体"/>
          <w:position w:val="-10"/>
          <w:sz w:val="24"/>
        </w:rPr>
        <w:object>
          <v:shape id="_x0000_i1079" o:spt="75" type="#_x0000_t75" style="height:17.25pt;width:3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3" ShapeID="_x0000_i1079" DrawAspect="Content" ObjectID="_1468075780" r:id="rId121">
            <o:LockedField>false</o:LockedField>
          </o:OLEObject>
        </w:object>
      </w:r>
    </w:p>
    <w:p w14:paraId="3A060322"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大容量纤维测试仪分度值为0.01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mm,则认为其以均匀分布落在宽度为0.005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mm的区间内，可用B类评定其标准不确定度为</w:t>
      </w:r>
      <w:r>
        <w:rPr>
          <w:rFonts w:ascii="宋体" w:hAnsi="宋体"/>
          <w:position w:val="-10"/>
          <w:sz w:val="24"/>
        </w:rPr>
        <w:object>
          <v:shape id="_x0000_i1080" o:spt="75" type="#_x0000_t75" style="height:17.2pt;width:30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3" ShapeID="_x0000_i1080" DrawAspect="Content" ObjectID="_1468075781" r:id="rId123">
            <o:LockedField>false</o:LockedField>
          </o:OLEObject>
        </w:object>
      </w:r>
      <w:r>
        <w:rPr>
          <w:rFonts w:hint="eastAsia"/>
          <w:kern w:val="0"/>
          <w:sz w:val="24"/>
        </w:rPr>
        <w:t>：</w:t>
      </w:r>
    </w:p>
    <w:p w14:paraId="2AA1CC6D">
      <w:pPr>
        <w:tabs>
          <w:tab w:val="left" w:pos="1800"/>
        </w:tabs>
        <w:spacing w:line="360" w:lineRule="auto"/>
        <w:jc w:val="center"/>
        <w:rPr>
          <w:kern w:val="0"/>
          <w:sz w:val="24"/>
        </w:rPr>
      </w:pPr>
      <w:r>
        <w:rPr>
          <w:rFonts w:ascii="宋体" w:hAnsi="宋体"/>
          <w:position w:val="-10"/>
          <w:sz w:val="24"/>
        </w:rPr>
        <w:object>
          <v:shape id="_x0000_i1081" o:spt="75" type="#_x0000_t75" style="height:17.2pt;width:30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3" ShapeID="_x0000_i1081" DrawAspect="Content" ObjectID="_1468075782" r:id="rId125">
            <o:LockedField>false</o:LockedField>
          </o:OLEObject>
        </w:object>
      </w:r>
      <w:r>
        <w:rPr>
          <w:rFonts w:hint="eastAsia"/>
          <w:kern w:val="0"/>
          <w:sz w:val="24"/>
        </w:rPr>
        <w:t>=0.0029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mm</w:t>
      </w:r>
    </w:p>
    <w:p w14:paraId="4DEB17A0">
      <w:pPr>
        <w:tabs>
          <w:tab w:val="left" w:pos="1800"/>
        </w:tabs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与测量重复性相比，仪器分度值引入的不确定度分量较小，因此忽略不计，只计算测量重复性引入的不确定度</w:t>
      </w:r>
      <w:r>
        <w:rPr>
          <w:rFonts w:hint="eastAsia" w:ascii="宋体" w:hAnsi="宋体"/>
          <w:sz w:val="24"/>
        </w:rPr>
        <w:t>分量</w:t>
      </w:r>
      <w:r>
        <w:rPr>
          <w:rFonts w:ascii="宋体" w:hAnsi="宋体"/>
          <w:position w:val="-10"/>
          <w:sz w:val="24"/>
        </w:rPr>
        <w:object>
          <v:shape id="_x0000_i1082" o:spt="75" type="#_x0000_t75" style="height:17.25pt;width:28.5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3" ShapeID="_x0000_i1082" DrawAspect="Content" ObjectID="_1468075783" r:id="rId127">
            <o:LockedField>false</o:LockedField>
          </o:OLEObject>
        </w:object>
      </w:r>
      <w:r>
        <w:rPr>
          <w:rFonts w:hint="eastAsia"/>
          <w:kern w:val="0"/>
          <w:sz w:val="24"/>
        </w:rPr>
        <w:t>。</w:t>
      </w:r>
    </w:p>
    <w:p w14:paraId="732CD0F7">
      <w:pPr>
        <w:tabs>
          <w:tab w:val="left" w:pos="1800"/>
        </w:tabs>
        <w:spacing w:line="360" w:lineRule="auto"/>
        <w:rPr>
          <w:rFonts w:ascii="宋体" w:hAnsi="宋体"/>
          <w:sz w:val="24"/>
        </w:rPr>
      </w:pPr>
      <w:r>
        <w:rPr>
          <w:rFonts w:hint="eastAsia"/>
          <w:kern w:val="0"/>
          <w:sz w:val="24"/>
        </w:rPr>
        <w:t>A.</w:t>
      </w:r>
      <w:r>
        <w:rPr>
          <w:rFonts w:hint="eastAsia"/>
          <w:kern w:val="0"/>
          <w:sz w:val="24"/>
          <w:lang w:val="en-US" w:eastAsia="zh-CN"/>
        </w:rPr>
        <w:t>4</w:t>
      </w:r>
      <w:r>
        <w:rPr>
          <w:rFonts w:hint="eastAsia"/>
          <w:kern w:val="0"/>
          <w:sz w:val="24"/>
        </w:rPr>
        <w:t>.3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标准棉样</w:t>
      </w:r>
      <w:r>
        <w:rPr>
          <w:rFonts w:hint="eastAsia"/>
          <w:kern w:val="0"/>
          <w:sz w:val="24"/>
          <w:lang w:eastAsia="zh-CN"/>
        </w:rPr>
        <w:t>长度</w:t>
      </w:r>
      <w:r>
        <w:rPr>
          <w:rFonts w:hint="eastAsia" w:ascii="宋体" w:hAnsi="宋体"/>
          <w:sz w:val="24"/>
        </w:rPr>
        <w:t>的不确定度分量</w:t>
      </w:r>
      <w:r>
        <w:rPr>
          <w:rFonts w:ascii="宋体" w:hAnsi="宋体"/>
          <w:position w:val="-12"/>
          <w:sz w:val="24"/>
        </w:rPr>
        <w:object>
          <v:shape id="_x0000_i1083" o:spt="75" type="#_x0000_t75" style="height:17.25pt;width:31.9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3" ShapeID="_x0000_i1083" DrawAspect="Content" ObjectID="_1468075784" r:id="rId129">
            <o:LockedField>false</o:LockedField>
          </o:OLEObject>
        </w:object>
      </w:r>
    </w:p>
    <w:p w14:paraId="5BFAED3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/>
          <w:kern w:val="0"/>
          <w:sz w:val="24"/>
        </w:rPr>
        <w:t>标准棉样的</w:t>
      </w:r>
      <w:r>
        <w:rPr>
          <w:rFonts w:hint="eastAsia"/>
          <w:kern w:val="0"/>
          <w:sz w:val="24"/>
          <w:lang w:eastAsia="zh-CN"/>
        </w:rPr>
        <w:t>扩展不确定度为</w:t>
      </w:r>
      <w:r>
        <w:rPr>
          <w:rFonts w:ascii="宋体" w:hAnsi="宋体"/>
          <w:position w:val="-10"/>
          <w:sz w:val="24"/>
        </w:rPr>
        <w:object>
          <v:shape id="_x0000_i1084" o:spt="75" type="#_x0000_t75" style="height:16.3pt;width:92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3" ShapeID="_x0000_i1084" DrawAspect="Content" ObjectID="_1468075785" r:id="rId131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>,</w:t>
      </w:r>
      <w:r>
        <w:rPr>
          <w:rFonts w:hint="eastAsia" w:ascii="宋体" w:hAnsi="宋体"/>
          <w:sz w:val="24"/>
        </w:rPr>
        <w:t>则</w:t>
      </w:r>
      <w:r>
        <w:rPr>
          <w:rFonts w:hint="eastAsia"/>
          <w:kern w:val="0"/>
          <w:sz w:val="24"/>
        </w:rPr>
        <w:t>标准棉样</w:t>
      </w:r>
      <w:r>
        <w:rPr>
          <w:rFonts w:hint="eastAsia" w:ascii="宋体" w:hAnsi="宋体"/>
          <w:sz w:val="24"/>
        </w:rPr>
        <w:t>引入的不确定度分量：</w:t>
      </w:r>
    </w:p>
    <w:p w14:paraId="492567AD">
      <w:pPr>
        <w:tabs>
          <w:tab w:val="left" w:pos="1800"/>
        </w:tabs>
        <w:spacing w:line="360" w:lineRule="auto"/>
        <w:jc w:val="center"/>
        <w:rPr>
          <w:rFonts w:ascii="宋体" w:hAnsi="宋体"/>
          <w:color w:val="FF0000"/>
          <w:kern w:val="0"/>
          <w:position w:val="-28"/>
          <w:sz w:val="24"/>
        </w:rPr>
      </w:pPr>
      <w:r>
        <w:rPr>
          <w:rFonts w:hint="eastAsia" w:ascii="宋体" w:hAnsi="宋体"/>
          <w:color w:val="FF0000"/>
          <w:kern w:val="0"/>
          <w:position w:val="-24"/>
          <w:sz w:val="24"/>
        </w:rPr>
        <w:object>
          <v:shape id="_x0000_i1085" o:spt="75" type="#_x0000_t75" style="height:30.3pt;width:155.4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3" ShapeID="_x0000_i1085" DrawAspect="Content" ObjectID="_1468075786" r:id="rId133">
            <o:LockedField>false</o:LockedField>
          </o:OLEObject>
        </w:object>
      </w:r>
    </w:p>
    <w:p w14:paraId="2E65936C">
      <w:pPr>
        <w:tabs>
          <w:tab w:val="left" w:pos="1800"/>
        </w:tabs>
        <w:spacing w:line="360" w:lineRule="auto"/>
        <w:rPr>
          <w:rFonts w:ascii="宋体" w:hAnsi="宋体"/>
          <w:sz w:val="24"/>
        </w:rPr>
      </w:pPr>
      <w:r>
        <w:rPr>
          <w:rFonts w:hint="eastAsia"/>
          <w:kern w:val="0"/>
          <w:sz w:val="24"/>
        </w:rPr>
        <w:t>A.</w:t>
      </w:r>
      <w:r>
        <w:rPr>
          <w:rFonts w:hint="eastAsia"/>
          <w:kern w:val="0"/>
          <w:sz w:val="24"/>
          <w:lang w:val="en-US" w:eastAsia="zh-CN"/>
        </w:rPr>
        <w:t>4</w:t>
      </w:r>
      <w:r>
        <w:rPr>
          <w:rFonts w:hint="eastAsia"/>
          <w:kern w:val="0"/>
          <w:sz w:val="24"/>
        </w:rPr>
        <w:t>.4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环境温度波动</w:t>
      </w:r>
      <w:r>
        <w:rPr>
          <w:rFonts w:hint="eastAsia" w:ascii="宋体" w:hAnsi="宋体"/>
          <w:sz w:val="24"/>
        </w:rPr>
        <w:t>引入的不确定度分量</w:t>
      </w:r>
      <w:r>
        <w:rPr>
          <w:rFonts w:ascii="宋体" w:hAnsi="宋体"/>
          <w:position w:val="-12"/>
          <w:sz w:val="24"/>
        </w:rPr>
        <w:object>
          <v:shape id="_x0000_i1086" o:spt="75" type="#_x0000_t75" style="height:17.25pt;width:34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3" ShapeID="_x0000_i1086" DrawAspect="Content" ObjectID="_1468075787" r:id="rId135">
            <o:LockedField>false</o:LockedField>
          </o:OLEObject>
        </w:object>
      </w:r>
    </w:p>
    <w:p w14:paraId="090F675A">
      <w:pPr>
        <w:spacing w:line="360" w:lineRule="auto"/>
        <w:ind w:firstLine="480" w:firstLineChars="200"/>
        <w:rPr>
          <w:rFonts w:hint="eastAsia" w:eastAsia="宋体"/>
          <w:kern w:val="0"/>
          <w:sz w:val="24"/>
          <w:lang w:eastAsia="zh-CN"/>
        </w:rPr>
      </w:pPr>
      <w:r>
        <w:rPr>
          <w:rFonts w:hint="eastAsia"/>
          <w:kern w:val="0"/>
          <w:sz w:val="24"/>
          <w:lang w:eastAsia="zh-CN"/>
        </w:rPr>
        <w:t>纤维的线膨胀系数</w:t>
      </w:r>
      <w:r>
        <w:rPr>
          <w:rFonts w:hint="eastAsia" w:ascii="Arial" w:hAnsi="Arial" w:cs="Arial"/>
          <w:kern w:val="0"/>
          <w:sz w:val="24"/>
          <w:lang w:eastAsia="zh-CN"/>
        </w:rPr>
        <w:t>为</w:t>
      </w:r>
      <w:r>
        <w:rPr>
          <w:rFonts w:hint="eastAsia" w:ascii="Arial" w:hAnsi="Arial" w:cs="Arial"/>
          <w:kern w:val="0"/>
          <w:position w:val="-6"/>
          <w:sz w:val="24"/>
          <w:lang w:eastAsia="zh-CN"/>
        </w:rPr>
        <w:object>
          <v:shape id="_x0000_i1087" o:spt="75" type="#_x0000_t75" style="height:16pt;width:84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7" DrawAspect="Content" ObjectID="_1468075788" r:id="rId137">
            <o:LockedField>false</o:LockedField>
          </o:OLEObject>
        </w:object>
      </w:r>
      <w:r>
        <w:rPr>
          <w:rFonts w:hint="eastAsia" w:ascii="Arial" w:hAnsi="Arial" w:cs="Arial"/>
          <w:kern w:val="0"/>
          <w:sz w:val="24"/>
          <w:lang w:eastAsia="zh-CN"/>
        </w:rPr>
        <w:t>，</w:t>
      </w:r>
      <w:r>
        <w:rPr>
          <w:kern w:val="0"/>
          <w:sz w:val="24"/>
        </w:rPr>
        <w:t>考虑</w:t>
      </w:r>
      <w:r>
        <w:rPr>
          <w:rFonts w:hint="eastAsia"/>
          <w:kern w:val="0"/>
          <w:sz w:val="24"/>
        </w:rPr>
        <w:t>到实验室</w:t>
      </w:r>
      <w:r>
        <w:rPr>
          <w:rFonts w:hint="eastAsia"/>
          <w:kern w:val="0"/>
          <w:sz w:val="24"/>
          <w:lang w:eastAsia="zh-CN"/>
        </w:rPr>
        <w:t>温度波动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±2</w:t>
      </w:r>
      <w:r>
        <w:rPr>
          <w:rFonts w:hint="eastAsia" w:cs="Times New Roman"/>
          <w:kern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℃</w:t>
      </w:r>
      <w:r>
        <w:rPr>
          <w:rFonts w:hint="eastAsia"/>
          <w:kern w:val="0"/>
          <w:sz w:val="24"/>
          <w:lang w:val="en-US" w:eastAsia="zh-CN"/>
        </w:rPr>
        <w:t>，</w:t>
      </w:r>
      <w:r>
        <w:rPr>
          <w:rFonts w:hint="eastAsia"/>
          <w:kern w:val="0"/>
          <w:sz w:val="24"/>
          <w:lang w:eastAsia="zh-CN"/>
        </w:rPr>
        <w:t>服从均匀分布，校准时按温度极限值计算，本实验中运用的标准棉花长度为</w:t>
      </w:r>
      <w:r>
        <w:rPr>
          <w:rFonts w:hint="eastAsia"/>
          <w:i/>
          <w:iCs/>
          <w:kern w:val="0"/>
          <w:sz w:val="24"/>
          <w:lang w:val="en-US" w:eastAsia="zh-CN"/>
        </w:rPr>
        <w:t>Ls</w:t>
      </w:r>
      <w:r>
        <w:rPr>
          <w:rFonts w:hint="eastAsia"/>
          <w:i w:val="0"/>
          <w:iCs w:val="0"/>
          <w:kern w:val="0"/>
          <w:sz w:val="24"/>
          <w:lang w:val="en-US" w:eastAsia="zh-CN"/>
        </w:rPr>
        <w:t>=24.10 mm</w:t>
      </w:r>
      <w:r>
        <w:rPr>
          <w:rFonts w:hint="eastAsia"/>
          <w:kern w:val="0"/>
          <w:sz w:val="24"/>
          <w:lang w:val="en-US" w:eastAsia="zh-CN"/>
        </w:rPr>
        <w:t>,</w:t>
      </w:r>
      <w:r>
        <w:rPr>
          <w:rFonts w:hint="eastAsia"/>
          <w:kern w:val="0"/>
          <w:sz w:val="24"/>
          <w:lang w:eastAsia="zh-CN"/>
        </w:rPr>
        <w:t>则</w:t>
      </w:r>
      <w:r>
        <w:rPr>
          <w:rFonts w:hint="eastAsia"/>
          <w:kern w:val="0"/>
          <w:sz w:val="24"/>
        </w:rPr>
        <w:t>由环境温度波动引入的</w:t>
      </w:r>
      <w:r>
        <w:rPr>
          <w:kern w:val="0"/>
          <w:sz w:val="24"/>
        </w:rPr>
        <w:t>不确定度</w:t>
      </w:r>
      <w:r>
        <w:rPr>
          <w:rFonts w:hint="eastAsia"/>
          <w:kern w:val="0"/>
          <w:sz w:val="24"/>
        </w:rPr>
        <w:t>分量</w:t>
      </w:r>
      <w:r>
        <w:rPr>
          <w:kern w:val="0"/>
          <w:sz w:val="24"/>
        </w:rPr>
        <w:t>为</w:t>
      </w:r>
      <w:r>
        <w:rPr>
          <w:rFonts w:hint="eastAsia"/>
          <w:kern w:val="0"/>
          <w:sz w:val="24"/>
          <w:lang w:eastAsia="zh-CN"/>
        </w:rPr>
        <w:t>：</w:t>
      </w:r>
    </w:p>
    <w:p w14:paraId="2D8F9344">
      <w:pPr>
        <w:spacing w:line="360" w:lineRule="auto"/>
        <w:ind w:firstLine="480" w:firstLineChars="200"/>
        <w:jc w:val="center"/>
        <w:rPr>
          <w:rFonts w:hint="eastAsia" w:ascii="宋体" w:hAnsi="宋体"/>
          <w:color w:val="FF0000"/>
          <w:kern w:val="0"/>
          <w:position w:val="-10"/>
          <w:sz w:val="24"/>
        </w:rPr>
      </w:pPr>
      <w:r>
        <w:rPr>
          <w:rFonts w:hint="eastAsia" w:ascii="宋体" w:hAnsi="宋体"/>
          <w:color w:val="FF0000"/>
          <w:kern w:val="0"/>
          <w:position w:val="-28"/>
          <w:sz w:val="24"/>
        </w:rPr>
        <w:object>
          <v:shape id="_x0000_i1088" o:spt="75" type="#_x0000_t75" style="height:34.3pt;width:309.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3" ShapeID="_x0000_i1088" DrawAspect="Content" ObjectID="_1468075789" r:id="rId139">
            <o:LockedField>false</o:LockedField>
          </o:OLEObject>
        </w:object>
      </w:r>
    </w:p>
    <w:p w14:paraId="3927DC4B">
      <w:pPr>
        <w:spacing w:line="360" w:lineRule="auto"/>
        <w:ind w:firstLine="480" w:firstLineChars="200"/>
        <w:jc w:val="both"/>
        <w:rPr>
          <w:rFonts w:hint="eastAsia" w:ascii="宋体" w:hAnsi="宋体" w:eastAsia="宋体"/>
          <w:color w:val="FF0000"/>
          <w:kern w:val="0"/>
          <w:position w:val="-10"/>
          <w:sz w:val="24"/>
          <w:lang w:val="en-US" w:eastAsia="zh-CN"/>
        </w:rPr>
      </w:pPr>
      <w:r>
        <w:rPr>
          <w:rFonts w:hint="eastAsia"/>
          <w:kern w:val="0"/>
          <w:sz w:val="24"/>
        </w:rPr>
        <w:t>环境温度波动</w:t>
      </w:r>
      <w:r>
        <w:rPr>
          <w:rFonts w:hint="eastAsia" w:ascii="宋体" w:hAnsi="宋体"/>
          <w:sz w:val="24"/>
        </w:rPr>
        <w:t>引入的不确定度分量</w:t>
      </w:r>
      <w:r>
        <w:rPr>
          <w:rFonts w:hint="eastAsia" w:ascii="宋体" w:hAnsi="宋体"/>
          <w:sz w:val="24"/>
          <w:lang w:eastAsia="zh-CN"/>
        </w:rPr>
        <w:t>为微米级，因此忽略不计。</w:t>
      </w:r>
    </w:p>
    <w:p w14:paraId="7B5908C5">
      <w:pPr>
        <w:widowControl/>
        <w:spacing w:before="45" w:line="360" w:lineRule="auto"/>
        <w:rPr>
          <w:rFonts w:ascii="宋体" w:hAnsi="宋体"/>
          <w:bCs/>
          <w:sz w:val="24"/>
        </w:rPr>
      </w:pPr>
      <w:r>
        <w:rPr>
          <w:rFonts w:hint="eastAsia"/>
          <w:kern w:val="0"/>
          <w:sz w:val="24"/>
        </w:rPr>
        <w:t>A.</w:t>
      </w:r>
      <w:r>
        <w:rPr>
          <w:rFonts w:hint="eastAsia"/>
          <w:kern w:val="0"/>
          <w:sz w:val="24"/>
          <w:lang w:val="en-US" w:eastAsia="zh-CN"/>
        </w:rPr>
        <w:t>5</w:t>
      </w:r>
      <w:r>
        <w:rPr>
          <w:rFonts w:hint="eastAsia"/>
          <w:kern w:val="0"/>
          <w:sz w:val="24"/>
        </w:rPr>
        <w:tab/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标准不确定度来源汇总</w:t>
      </w:r>
    </w:p>
    <w:p w14:paraId="1665ED60">
      <w:pPr>
        <w:pStyle w:val="45"/>
        <w:snapToGrid w:val="0"/>
        <w:spacing w:line="360" w:lineRule="auto"/>
        <w:jc w:val="center"/>
        <w:rPr>
          <w:rFonts w:hAnsi="黑体" w:cs="黑体"/>
          <w:szCs w:val="21"/>
        </w:rPr>
      </w:pPr>
      <w:r>
        <w:rPr>
          <w:rFonts w:hint="eastAsia" w:hAnsi="黑体" w:cs="黑体"/>
          <w:szCs w:val="21"/>
        </w:rPr>
        <w:t>表</w:t>
      </w:r>
      <w:r>
        <w:rPr>
          <w:rFonts w:hint="eastAsia" w:hAnsi="黑体" w:cs="黑体"/>
          <w:szCs w:val="21"/>
          <w:lang w:val="en-US" w:eastAsia="zh-CN"/>
        </w:rPr>
        <w:t>A.</w:t>
      </w:r>
      <w:r>
        <w:rPr>
          <w:rFonts w:hint="eastAsia" w:hAnsi="黑体" w:cs="黑体"/>
          <w:szCs w:val="21"/>
        </w:rPr>
        <w:t>1标准不确定分量一览表</w:t>
      </w: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9"/>
        <w:gridCol w:w="2100"/>
        <w:gridCol w:w="1981"/>
        <w:gridCol w:w="1652"/>
        <w:gridCol w:w="1722"/>
      </w:tblGrid>
      <w:tr w14:paraId="55479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17" w:type="pct"/>
            <w:vMerge w:val="restart"/>
            <w:noWrap w:val="0"/>
            <w:vAlign w:val="center"/>
          </w:tcPr>
          <w:p w14:paraId="1843AD1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不确定度来源</w:t>
            </w:r>
          </w:p>
        </w:tc>
        <w:tc>
          <w:tcPr>
            <w:tcW w:w="2070" w:type="pct"/>
            <w:gridSpan w:val="2"/>
            <w:noWrap w:val="0"/>
            <w:vAlign w:val="center"/>
          </w:tcPr>
          <w:p w14:paraId="6F51043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标准不确定度</w:t>
            </w:r>
          </w:p>
        </w:tc>
        <w:tc>
          <w:tcPr>
            <w:tcW w:w="838" w:type="pct"/>
            <w:vMerge w:val="restart"/>
            <w:noWrap w:val="0"/>
            <w:vAlign w:val="center"/>
          </w:tcPr>
          <w:p w14:paraId="37EC3F5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灵敏系数</w:t>
            </w:r>
            <w:r>
              <w:rPr>
                <w:rFonts w:ascii="宋体" w:hAnsi="宋体" w:eastAsia="宋体"/>
                <w:position w:val="-14"/>
                <w:szCs w:val="21"/>
              </w:rPr>
              <w:object>
                <v:shape id="_x0000_i1089" o:spt="75" type="#_x0000_t75" style="height:20.4pt;width:11.8pt;" o:ole="t" filled="f" o:preferrelative="t" stroked="f" coordsize="21600,21600">
                  <v:path/>
                  <v:fill on="f" focussize="0,0"/>
                  <v:stroke on="f" joinstyle="miter"/>
                  <v:imagedata r:id="rId142" o:title=""/>
                  <o:lock v:ext="edit" aspectratio="t"/>
                  <w10:wrap type="none"/>
                  <w10:anchorlock/>
                </v:shape>
                <o:OLEObject Type="Embed" ProgID="Equation.3" ShapeID="_x0000_i1089" DrawAspect="Content" ObjectID="_1468075790" r:id="rId141">
                  <o:LockedField>false</o:LockedField>
                </o:OLEObject>
              </w:object>
            </w:r>
          </w:p>
        </w:tc>
        <w:tc>
          <w:tcPr>
            <w:tcW w:w="873" w:type="pct"/>
            <w:vMerge w:val="restart"/>
            <w:noWrap w:val="0"/>
            <w:vAlign w:val="center"/>
          </w:tcPr>
          <w:p w14:paraId="520235D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输出量标准不确定度分量</w:t>
            </w:r>
          </w:p>
        </w:tc>
      </w:tr>
      <w:tr w14:paraId="37F71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217" w:type="pct"/>
            <w:vMerge w:val="continue"/>
            <w:noWrap w:val="0"/>
            <w:vAlign w:val="center"/>
          </w:tcPr>
          <w:p w14:paraId="176280F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5" w:type="pct"/>
            <w:noWrap w:val="0"/>
            <w:vAlign w:val="center"/>
          </w:tcPr>
          <w:p w14:paraId="5DCB297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符号</w:t>
            </w:r>
          </w:p>
        </w:tc>
        <w:tc>
          <w:tcPr>
            <w:tcW w:w="1005" w:type="pct"/>
            <w:noWrap w:val="0"/>
            <w:vAlign w:val="center"/>
          </w:tcPr>
          <w:p w14:paraId="3DED5159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数值</w:t>
            </w:r>
          </w:p>
        </w:tc>
        <w:tc>
          <w:tcPr>
            <w:tcW w:w="838" w:type="pct"/>
            <w:vMerge w:val="continue"/>
            <w:noWrap w:val="0"/>
            <w:vAlign w:val="center"/>
          </w:tcPr>
          <w:p w14:paraId="067B8E2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73" w:type="pct"/>
            <w:vMerge w:val="continue"/>
            <w:noWrap w:val="0"/>
            <w:vAlign w:val="center"/>
          </w:tcPr>
          <w:p w14:paraId="74BE793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DABD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17" w:type="pct"/>
            <w:noWrap w:val="0"/>
            <w:vAlign w:val="center"/>
          </w:tcPr>
          <w:p w14:paraId="08881DBA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测量重复性</w:t>
            </w:r>
          </w:p>
        </w:tc>
        <w:tc>
          <w:tcPr>
            <w:tcW w:w="1065" w:type="pct"/>
            <w:noWrap w:val="0"/>
            <w:vAlign w:val="center"/>
          </w:tcPr>
          <w:p w14:paraId="50A41B1F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ascii="宋体" w:hAnsi="宋体"/>
                <w:position w:val="-10"/>
                <w:sz w:val="24"/>
              </w:rPr>
              <w:object>
                <v:shape id="_x0000_i1090" o:spt="75" type="#_x0000_t75" style="height:17.25pt;width:28.55pt;" o:ole="t" filled="f" o:preferrelative="t" stroked="f" coordsize="21600,21600">
                  <v:path/>
                  <v:fill on="f" focussize="0,0"/>
                  <v:stroke on="f"/>
                  <v:imagedata r:id="rId144" o:title=""/>
                  <o:lock v:ext="edit" aspectratio="t"/>
                  <w10:wrap type="none"/>
                  <w10:anchorlock/>
                </v:shape>
                <o:OLEObject Type="Embed" ProgID="Equation.3" ShapeID="_x0000_i1090" DrawAspect="Content" ObjectID="_1468075791" r:id="rId143">
                  <o:LockedField>false</o:LockedField>
                </o:OLEObject>
              </w:object>
            </w:r>
          </w:p>
        </w:tc>
        <w:tc>
          <w:tcPr>
            <w:tcW w:w="1005" w:type="pct"/>
            <w:noWrap w:val="0"/>
            <w:vAlign w:val="center"/>
          </w:tcPr>
          <w:p w14:paraId="3F490C9A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0.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094 </w:t>
            </w:r>
            <w:r>
              <w:rPr>
                <w:rFonts w:hint="eastAsia"/>
                <w:kern w:val="0"/>
                <w:sz w:val="24"/>
              </w:rPr>
              <w:t>mm</w:t>
            </w:r>
          </w:p>
        </w:tc>
        <w:tc>
          <w:tcPr>
            <w:tcW w:w="838" w:type="pct"/>
            <w:noWrap w:val="0"/>
            <w:vAlign w:val="center"/>
          </w:tcPr>
          <w:p w14:paraId="46F7827B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873" w:type="pct"/>
            <w:noWrap w:val="0"/>
            <w:vAlign w:val="center"/>
          </w:tcPr>
          <w:p w14:paraId="555EC0FE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0.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094 </w:t>
            </w:r>
            <w:r>
              <w:rPr>
                <w:rFonts w:hint="eastAsia"/>
                <w:kern w:val="0"/>
                <w:sz w:val="24"/>
              </w:rPr>
              <w:t>mm</w:t>
            </w:r>
          </w:p>
        </w:tc>
      </w:tr>
      <w:tr w14:paraId="7BF1B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17" w:type="pct"/>
            <w:noWrap w:val="0"/>
            <w:vAlign w:val="center"/>
          </w:tcPr>
          <w:p w14:paraId="1BD6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" w:lineRule="auto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标准棉样</w:t>
            </w:r>
            <w:r>
              <w:rPr>
                <w:rFonts w:hint="eastAsia" w:ascii="宋体" w:hAnsi="宋体"/>
                <w:szCs w:val="21"/>
                <w:lang w:eastAsia="zh-CN"/>
              </w:rPr>
              <w:t>长度引入的</w:t>
            </w:r>
            <w:r>
              <w:rPr>
                <w:rFonts w:hint="eastAsia" w:ascii="宋体" w:hAnsi="宋体" w:eastAsia="宋体"/>
                <w:szCs w:val="21"/>
              </w:rPr>
              <w:t>不确定度分量</w:t>
            </w:r>
          </w:p>
        </w:tc>
        <w:tc>
          <w:tcPr>
            <w:tcW w:w="1065" w:type="pct"/>
            <w:noWrap w:val="0"/>
            <w:vAlign w:val="center"/>
          </w:tcPr>
          <w:p w14:paraId="548BBCC3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ascii="宋体" w:hAnsi="宋体"/>
                <w:position w:val="-12"/>
                <w:sz w:val="24"/>
              </w:rPr>
              <w:object>
                <v:shape id="_x0000_i1091" o:spt="75" type="#_x0000_t75" style="height:17.25pt;width:31.95pt;" o:ole="t" filled="f" o:preferrelative="t" stroked="f" coordsize="21600,21600">
                  <v:path/>
                  <v:fill on="f" focussize="0,0"/>
                  <v:stroke on="f"/>
                  <v:imagedata r:id="rId146" o:title=""/>
                  <o:lock v:ext="edit" aspectratio="t"/>
                  <w10:wrap type="none"/>
                  <w10:anchorlock/>
                </v:shape>
                <o:OLEObject Type="Embed" ProgID="Equation.3" ShapeID="_x0000_i1091" DrawAspect="Content" ObjectID="_1468075792" r:id="rId145">
                  <o:LockedField>false</o:LockedField>
                </o:OLEObject>
              </w:object>
            </w:r>
          </w:p>
        </w:tc>
        <w:tc>
          <w:tcPr>
            <w:tcW w:w="1005" w:type="pct"/>
            <w:noWrap w:val="0"/>
            <w:vAlign w:val="center"/>
          </w:tcPr>
          <w:p w14:paraId="302427F2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0.1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mm</w:t>
            </w:r>
          </w:p>
        </w:tc>
        <w:tc>
          <w:tcPr>
            <w:tcW w:w="838" w:type="pct"/>
            <w:noWrap w:val="0"/>
            <w:vAlign w:val="center"/>
          </w:tcPr>
          <w:p w14:paraId="0E751C07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873" w:type="pct"/>
            <w:noWrap w:val="0"/>
            <w:vAlign w:val="center"/>
          </w:tcPr>
          <w:p w14:paraId="0CA7AD29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0.1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mm</w:t>
            </w:r>
          </w:p>
        </w:tc>
      </w:tr>
      <w:tr w14:paraId="4B0B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126" w:type="pct"/>
            <w:gridSpan w:val="4"/>
            <w:noWrap w:val="0"/>
            <w:vAlign w:val="center"/>
          </w:tcPr>
          <w:p w14:paraId="3393CF8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合成标准不确定度</w:t>
            </w:r>
          </w:p>
        </w:tc>
        <w:tc>
          <w:tcPr>
            <w:tcW w:w="873" w:type="pct"/>
            <w:noWrap w:val="0"/>
            <w:vAlign w:val="center"/>
          </w:tcPr>
          <w:p w14:paraId="204C8B8F">
            <w:pPr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4"/>
              </w:rPr>
              <w:t>0.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14 </w:t>
            </w:r>
            <w:r>
              <w:rPr>
                <w:rFonts w:hint="eastAsia"/>
                <w:kern w:val="0"/>
                <w:sz w:val="24"/>
              </w:rPr>
              <w:t>mm</w:t>
            </w:r>
          </w:p>
        </w:tc>
      </w:tr>
    </w:tbl>
    <w:p w14:paraId="0D8C1247">
      <w:pPr>
        <w:tabs>
          <w:tab w:val="left" w:pos="1800"/>
        </w:tabs>
        <w:spacing w:line="360" w:lineRule="auto"/>
        <w:rPr>
          <w:rFonts w:ascii="宋体" w:hAnsi="宋体"/>
          <w:bCs/>
          <w:sz w:val="24"/>
        </w:rPr>
      </w:pPr>
      <w:r>
        <w:rPr>
          <w:rFonts w:hint="eastAsia"/>
          <w:kern w:val="0"/>
          <w:sz w:val="24"/>
        </w:rPr>
        <w:t>A.</w:t>
      </w:r>
      <w:r>
        <w:rPr>
          <w:rFonts w:hint="eastAsia"/>
          <w:kern w:val="0"/>
          <w:sz w:val="24"/>
          <w:lang w:val="en-US" w:eastAsia="zh-CN"/>
        </w:rPr>
        <w:t>6</w:t>
      </w:r>
      <w:r>
        <w:rPr>
          <w:rFonts w:hint="eastAsia" w:ascii="宋体" w:hAnsi="宋体"/>
          <w:bCs/>
          <w:sz w:val="24"/>
        </w:rPr>
        <w:t>合成标准不确定度</w:t>
      </w:r>
    </w:p>
    <w:p w14:paraId="7DA2A79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上述各标准</w:t>
      </w:r>
      <w:r>
        <w:rPr>
          <w:rFonts w:hint="eastAsia" w:hAnsi="宋体"/>
          <w:sz w:val="24"/>
        </w:rPr>
        <w:t>不确定度</w:t>
      </w:r>
      <w:r>
        <w:rPr>
          <w:rFonts w:hint="eastAsia" w:ascii="宋体" w:hAnsi="宋体"/>
          <w:bCs/>
          <w:sz w:val="24"/>
        </w:rPr>
        <w:t>分量间相关性可忽略，则合成标准不确定度</w:t>
      </w:r>
      <w:r>
        <w:rPr>
          <w:position w:val="-12"/>
        </w:rPr>
        <w:object>
          <v:shape id="_x0000_i1092" o:spt="75" type="#_x0000_t75" style="height:18.25pt;width:36.8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092" DrawAspect="Content" ObjectID="_1468075793" r:id="rId147">
            <o:LockedField>false</o:LockedField>
          </o:OLEObject>
        </w:object>
      </w:r>
      <w:r>
        <w:rPr>
          <w:rFonts w:hint="eastAsia" w:ascii="宋体" w:hAnsi="宋体"/>
          <w:bCs/>
          <w:sz w:val="24"/>
        </w:rPr>
        <w:t>为：</w:t>
      </w:r>
    </w:p>
    <w:p w14:paraId="489D1F38">
      <w:pPr>
        <w:tabs>
          <w:tab w:val="left" w:pos="1800"/>
        </w:tabs>
        <w:spacing w:line="360" w:lineRule="auto"/>
        <w:jc w:val="center"/>
        <w:rPr>
          <w:rFonts w:ascii="宋体" w:hAnsi="宋体"/>
          <w:position w:val="-14"/>
          <w:sz w:val="24"/>
        </w:rPr>
      </w:pPr>
      <w:r>
        <w:rPr>
          <w:rFonts w:ascii="宋体" w:hAnsi="宋体"/>
          <w:position w:val="-12"/>
          <w:sz w:val="24"/>
        </w:rPr>
        <w:object>
          <v:shape id="_x0000_i1093" o:spt="75" type="#_x0000_t75" style="height:18.25pt;width:36.4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3" ShapeID="_x0000_i1093" DrawAspect="Content" ObjectID="_1468075794" r:id="rId149">
            <o:LockedField>false</o:LockedField>
          </o:OLEObject>
        </w:object>
      </w:r>
      <w:r>
        <w:rPr>
          <w:rFonts w:hint="eastAsia" w:ascii="宋体" w:hAnsi="宋体"/>
          <w:sz w:val="24"/>
        </w:rPr>
        <w:t>=</w:t>
      </w:r>
      <w:r>
        <w:rPr>
          <w:rFonts w:ascii="宋体" w:hAnsi="宋体"/>
          <w:position w:val="-14"/>
          <w:sz w:val="24"/>
        </w:rPr>
        <w:object>
          <v:shape id="_x0000_i1094" o:spt="75" type="#_x0000_t75" style="height:23.35pt;width:138.8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3" ShapeID="_x0000_i1094" DrawAspect="Content" ObjectID="_1468075795" r:id="rId151">
            <o:LockedField>false</o:LockedField>
          </o:OLEObject>
        </w:object>
      </w:r>
    </w:p>
    <w:p w14:paraId="73B120A1">
      <w:pPr>
        <w:tabs>
          <w:tab w:val="left" w:pos="1800"/>
        </w:tabs>
        <w:spacing w:line="360" w:lineRule="auto"/>
        <w:rPr>
          <w:rFonts w:ascii="宋体" w:hAnsi="宋体"/>
          <w:bCs/>
          <w:sz w:val="24"/>
        </w:rPr>
      </w:pPr>
      <w:r>
        <w:rPr>
          <w:rFonts w:hint="eastAsia"/>
          <w:kern w:val="0"/>
          <w:sz w:val="24"/>
        </w:rPr>
        <w:t>A.</w:t>
      </w:r>
      <w:r>
        <w:rPr>
          <w:rFonts w:hint="eastAsia"/>
          <w:kern w:val="0"/>
          <w:sz w:val="24"/>
          <w:lang w:val="en-US" w:eastAsia="zh-CN"/>
        </w:rPr>
        <w:t>7</w:t>
      </w:r>
      <w:r>
        <w:rPr>
          <w:rFonts w:hint="eastAsia" w:ascii="宋体" w:hAnsi="宋体"/>
          <w:bCs/>
          <w:sz w:val="24"/>
        </w:rPr>
        <w:t xml:space="preserve"> 扩展不确定度</w:t>
      </w:r>
    </w:p>
    <w:p w14:paraId="125D3CEF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取包含因子</w:t>
      </w:r>
      <w:r>
        <w:rPr>
          <w:rFonts w:hint="eastAsia" w:ascii="宋体" w:hAnsi="宋体"/>
          <w:bCs/>
          <w:position w:val="-6"/>
          <w:sz w:val="24"/>
        </w:rPr>
        <w:object>
          <v:shape id="_x0000_i1095" o:spt="75" type="#_x0000_t75" style="height:14.5pt;width:29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3" ShapeID="_x0000_i1095" DrawAspect="Content" ObjectID="_1468075796" r:id="rId153">
            <o:LockedField>false</o:LockedField>
          </o:OLEObject>
        </w:object>
      </w:r>
      <w:r>
        <w:rPr>
          <w:rFonts w:hint="eastAsia" w:ascii="宋体" w:hAnsi="宋体"/>
          <w:bCs/>
          <w:position w:val="-6"/>
          <w:sz w:val="24"/>
        </w:rPr>
        <w:t>,</w:t>
      </w:r>
      <w:r>
        <w:rPr>
          <w:rFonts w:hint="eastAsia" w:ascii="宋体" w:hAnsi="宋体"/>
          <w:bCs/>
          <w:sz w:val="24"/>
        </w:rPr>
        <w:t>扩展不确定度为：</w:t>
      </w:r>
    </w:p>
    <w:p w14:paraId="072C8964">
      <w:pPr>
        <w:spacing w:line="360" w:lineRule="auto"/>
        <w:ind w:firstLine="480" w:firstLineChars="200"/>
        <w:jc w:val="center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position w:val="-12"/>
          <w:sz w:val="24"/>
        </w:rPr>
        <w:object>
          <v:shape id="_x0000_i1096" o:spt="75" type="#_x0000_t75" style="height:18.25pt;width:187.9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3" ShapeID="_x0000_i1096" DrawAspect="Content" ObjectID="_1468075797" r:id="rId155">
            <o:LockedField>false</o:LockedField>
          </o:OLEObject>
        </w:object>
      </w:r>
    </w:p>
    <w:p w14:paraId="0AC38BF7">
      <w:pPr>
        <w:pStyle w:val="36"/>
        <w:jc w:val="left"/>
      </w:pPr>
    </w:p>
    <w:p w14:paraId="412651DC">
      <w:pPr>
        <w:pStyle w:val="36"/>
        <w:jc w:val="left"/>
      </w:pPr>
    </w:p>
    <w:p w14:paraId="0568E100">
      <w:pPr>
        <w:pStyle w:val="36"/>
        <w:jc w:val="left"/>
      </w:pPr>
    </w:p>
    <w:p w14:paraId="76FE7587">
      <w:pPr>
        <w:pStyle w:val="36"/>
        <w:jc w:val="left"/>
      </w:pPr>
    </w:p>
    <w:p w14:paraId="4DFCA17C">
      <w:pPr>
        <w:pStyle w:val="36"/>
        <w:jc w:val="left"/>
      </w:pPr>
    </w:p>
    <w:p w14:paraId="730C0455">
      <w:pPr>
        <w:pStyle w:val="36"/>
        <w:jc w:val="left"/>
      </w:pPr>
    </w:p>
    <w:p w14:paraId="52A16F60">
      <w:pPr>
        <w:pStyle w:val="36"/>
        <w:jc w:val="left"/>
      </w:pPr>
    </w:p>
    <w:p w14:paraId="1A02B886">
      <w:pPr>
        <w:pStyle w:val="36"/>
        <w:jc w:val="left"/>
      </w:pPr>
    </w:p>
    <w:p w14:paraId="595FB3B5">
      <w:pPr>
        <w:pStyle w:val="36"/>
        <w:jc w:val="left"/>
      </w:pPr>
    </w:p>
    <w:p w14:paraId="2427BB6E">
      <w:pPr>
        <w:pStyle w:val="36"/>
        <w:jc w:val="left"/>
      </w:pPr>
    </w:p>
    <w:p w14:paraId="781A45C7">
      <w:pPr>
        <w:pStyle w:val="36"/>
        <w:jc w:val="left"/>
      </w:pPr>
    </w:p>
    <w:p w14:paraId="54462FE7">
      <w:pPr>
        <w:pStyle w:val="36"/>
        <w:jc w:val="left"/>
      </w:pPr>
    </w:p>
    <w:p w14:paraId="57D7F43D">
      <w:pPr>
        <w:pStyle w:val="36"/>
        <w:jc w:val="left"/>
      </w:pPr>
    </w:p>
    <w:p w14:paraId="7BD1FCD3">
      <w:pPr>
        <w:pStyle w:val="36"/>
        <w:jc w:val="left"/>
      </w:pPr>
    </w:p>
    <w:p w14:paraId="519EF104">
      <w:pPr>
        <w:pStyle w:val="36"/>
        <w:jc w:val="left"/>
      </w:pPr>
    </w:p>
    <w:p w14:paraId="230AFE88">
      <w:pPr>
        <w:pStyle w:val="36"/>
        <w:jc w:val="left"/>
      </w:pPr>
    </w:p>
    <w:p w14:paraId="796C8536">
      <w:pPr>
        <w:pStyle w:val="36"/>
        <w:jc w:val="left"/>
      </w:pPr>
    </w:p>
    <w:p w14:paraId="61970C65">
      <w:pPr>
        <w:pStyle w:val="36"/>
        <w:jc w:val="left"/>
      </w:pPr>
    </w:p>
    <w:p w14:paraId="48A38D13">
      <w:pPr>
        <w:pStyle w:val="36"/>
        <w:jc w:val="left"/>
      </w:pPr>
    </w:p>
    <w:p w14:paraId="78530AB4">
      <w:pPr>
        <w:pStyle w:val="36"/>
        <w:jc w:val="left"/>
      </w:pPr>
    </w:p>
    <w:p w14:paraId="0DD46E87">
      <w:pPr>
        <w:pStyle w:val="36"/>
        <w:jc w:val="left"/>
      </w:pPr>
    </w:p>
    <w:p w14:paraId="1D4ED74F">
      <w:pPr>
        <w:pStyle w:val="36"/>
        <w:ind w:firstLine="0" w:firstLineChars="0"/>
        <w:jc w:val="left"/>
      </w:pPr>
    </w:p>
    <w:p w14:paraId="78C493CF">
      <w:pPr>
        <w:pStyle w:val="36"/>
        <w:ind w:firstLine="0" w:firstLineChars="0"/>
        <w:jc w:val="left"/>
        <w:rPr>
          <w:rFonts w:ascii="黑体" w:hAnsi="黑体" w:eastAsia="黑体"/>
          <w:sz w:val="28"/>
          <w:szCs w:val="28"/>
        </w:rPr>
      </w:pPr>
    </w:p>
    <w:p w14:paraId="0E5463FF">
      <w:pPr>
        <w:pStyle w:val="36"/>
        <w:ind w:firstLine="0" w:firstLineChars="0"/>
        <w:jc w:val="left"/>
        <w:rPr>
          <w:rFonts w:ascii="黑体" w:hAnsi="黑体" w:eastAsia="黑体"/>
          <w:sz w:val="28"/>
          <w:szCs w:val="28"/>
        </w:rPr>
      </w:pPr>
    </w:p>
    <w:p w14:paraId="48B55FCB">
      <w:pPr>
        <w:pStyle w:val="36"/>
        <w:ind w:firstLine="0" w:firstLineChars="0"/>
        <w:jc w:val="left"/>
        <w:rPr>
          <w:rFonts w:ascii="黑体" w:hAnsi="黑体" w:eastAsia="黑体"/>
          <w:sz w:val="28"/>
          <w:szCs w:val="28"/>
        </w:rPr>
      </w:pPr>
    </w:p>
    <w:p w14:paraId="08F80776">
      <w:pPr>
        <w:pStyle w:val="36"/>
        <w:ind w:firstLine="0" w:firstLineChars="0"/>
        <w:jc w:val="left"/>
        <w:rPr>
          <w:rFonts w:ascii="黑体" w:hAnsi="黑体" w:eastAsia="黑体"/>
          <w:sz w:val="28"/>
          <w:szCs w:val="28"/>
        </w:rPr>
      </w:pPr>
    </w:p>
    <w:p w14:paraId="2A9042C7">
      <w:pPr>
        <w:pStyle w:val="36"/>
        <w:ind w:firstLine="0" w:firstLineChars="0"/>
        <w:jc w:val="left"/>
        <w:rPr>
          <w:rFonts w:ascii="黑体" w:hAnsi="黑体" w:eastAsia="黑体"/>
          <w:sz w:val="28"/>
          <w:szCs w:val="28"/>
        </w:rPr>
      </w:pPr>
    </w:p>
    <w:p w14:paraId="67A1E749">
      <w:pPr>
        <w:pStyle w:val="36"/>
        <w:ind w:firstLine="0" w:firstLineChars="0"/>
        <w:jc w:val="left"/>
        <w:rPr>
          <w:rFonts w:ascii="黑体" w:hAnsi="黑体" w:eastAsia="黑体"/>
          <w:sz w:val="28"/>
          <w:szCs w:val="28"/>
        </w:rPr>
      </w:pPr>
    </w:p>
    <w:p w14:paraId="62B23B58">
      <w:pPr>
        <w:outlineLvl w:val="0"/>
        <w:rPr>
          <w:rFonts w:hint="eastAsia" w:ascii="黑体" w:hAnsi="黑体" w:eastAsia="黑体"/>
          <w:sz w:val="28"/>
          <w:szCs w:val="28"/>
        </w:rPr>
      </w:pPr>
      <w:bookmarkStart w:id="65" w:name="_Toc4626"/>
    </w:p>
    <w:p w14:paraId="2E133CCF">
      <w:pPr>
        <w:outlineLvl w:val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附录B：</w:t>
      </w:r>
      <w:bookmarkEnd w:id="65"/>
    </w:p>
    <w:p w14:paraId="484A2C4B">
      <w:pPr>
        <w:spacing w:line="400" w:lineRule="exact"/>
        <w:ind w:firstLine="1280" w:firstLineChars="400"/>
        <w:jc w:val="center"/>
        <w:outlineLvl w:val="0"/>
        <w:rPr>
          <w:rFonts w:ascii="黑体" w:hAnsi="黑体" w:eastAsia="黑体"/>
          <w:sz w:val="32"/>
          <w:szCs w:val="32"/>
        </w:rPr>
      </w:pPr>
      <w:bookmarkStart w:id="66" w:name="_Toc17811"/>
      <w:r>
        <w:rPr>
          <w:rFonts w:hint="eastAsia" w:ascii="黑体" w:hAnsi="黑体" w:eastAsia="黑体"/>
          <w:sz w:val="32"/>
          <w:szCs w:val="32"/>
        </w:rPr>
        <w:t>大容量纤维测试仪校准结果（式样）</w:t>
      </w:r>
      <w:bookmarkEnd w:id="66"/>
    </w:p>
    <w:p w14:paraId="0F795FE4">
      <w:pPr>
        <w:spacing w:line="360" w:lineRule="auto"/>
        <w:jc w:val="center"/>
        <w:rPr>
          <w:rFonts w:ascii="宋体" w:hAnsi="宋体"/>
          <w:sz w:val="24"/>
        </w:rPr>
      </w:pPr>
    </w:p>
    <w:tbl>
      <w:tblPr>
        <w:tblStyle w:val="21"/>
        <w:tblW w:w="438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25"/>
        <w:gridCol w:w="2965"/>
        <w:gridCol w:w="3888"/>
      </w:tblGrid>
      <w:tr w14:paraId="2D053E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C6ADB0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1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5556B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校准项目</w:t>
            </w:r>
          </w:p>
        </w:tc>
        <w:tc>
          <w:tcPr>
            <w:tcW w:w="2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9A6B2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校准结果</w:t>
            </w:r>
          </w:p>
        </w:tc>
      </w:tr>
      <w:tr w14:paraId="2A39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8CDF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3C5EF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棉花反射率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示值误差</w:t>
            </w:r>
          </w:p>
        </w:tc>
        <w:tc>
          <w:tcPr>
            <w:tcW w:w="2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5DBF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54D376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56BE79">
            <w:pPr>
              <w:widowControl/>
              <w:spacing w:line="360" w:lineRule="auto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6B517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棉花黄色深度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示值误差</w:t>
            </w:r>
          </w:p>
        </w:tc>
        <w:tc>
          <w:tcPr>
            <w:tcW w:w="2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BB30E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</w:tc>
      </w:tr>
      <w:tr w14:paraId="63B27C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924927">
            <w:pPr>
              <w:widowControl/>
              <w:spacing w:line="360" w:lineRule="auto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D4068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cs="宋体"/>
                <w:szCs w:val="21"/>
                <w:highlight w:val="none"/>
                <w:lang w:eastAsia="zh-CN"/>
              </w:rPr>
              <w:t>平均长度测量重复性</w:t>
            </w:r>
          </w:p>
        </w:tc>
        <w:tc>
          <w:tcPr>
            <w:tcW w:w="2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4C3D4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</w:tc>
      </w:tr>
      <w:tr w14:paraId="17D63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6B96B">
            <w:pPr>
              <w:jc w:val="center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5318C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GB"/>
              </w:rPr>
              <w:t>纤维平均长度</w:t>
            </w:r>
            <w:r>
              <w:rPr>
                <w:rFonts w:hint="eastAsia" w:ascii="宋体" w:hAnsi="宋体" w:cs="宋体"/>
                <w:szCs w:val="21"/>
                <w:lang w:val="en-GB" w:eastAsia="zh-CN"/>
              </w:rPr>
              <w:t>示值误差</w:t>
            </w:r>
          </w:p>
        </w:tc>
        <w:tc>
          <w:tcPr>
            <w:tcW w:w="2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BE1E8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E8235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B72E8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9A6E91">
            <w:pPr>
              <w:widowControl/>
              <w:spacing w:line="360" w:lineRule="auto"/>
              <w:jc w:val="center"/>
              <w:textAlignment w:val="center"/>
              <w:rPr>
                <w:rStyle w:val="58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GB" w:eastAsia="zh-CN"/>
              </w:rPr>
              <w:t>长度</w:t>
            </w:r>
            <w:r>
              <w:rPr>
                <w:rFonts w:hint="eastAsia" w:ascii="宋体" w:hAnsi="宋体" w:eastAsia="宋体" w:cs="宋体"/>
                <w:szCs w:val="21"/>
                <w:lang w:val="en-GB"/>
              </w:rPr>
              <w:t>整齐度指数</w:t>
            </w:r>
            <w:r>
              <w:rPr>
                <w:rFonts w:hint="eastAsia" w:ascii="宋体" w:hAnsi="宋体" w:cs="宋体"/>
                <w:szCs w:val="21"/>
                <w:lang w:val="en-GB" w:eastAsia="zh-CN"/>
              </w:rPr>
              <w:t>示值误差</w:t>
            </w:r>
          </w:p>
        </w:tc>
        <w:tc>
          <w:tcPr>
            <w:tcW w:w="2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41899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B2603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51E99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CE557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Cs w:val="21"/>
                <w:lang w:val="en-GB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GB"/>
              </w:rPr>
              <w:t>断裂比强度</w:t>
            </w:r>
            <w:r>
              <w:rPr>
                <w:rFonts w:hint="eastAsia" w:ascii="宋体" w:hAnsi="宋体" w:cs="宋体"/>
                <w:szCs w:val="21"/>
                <w:lang w:val="en-GB" w:eastAsia="zh-CN"/>
              </w:rPr>
              <w:t>示值误差</w:t>
            </w:r>
          </w:p>
        </w:tc>
        <w:tc>
          <w:tcPr>
            <w:tcW w:w="2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97A4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4169D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63AF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</w:p>
        </w:tc>
        <w:tc>
          <w:tcPr>
            <w:tcW w:w="1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560FA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马克隆值示值误差</w:t>
            </w:r>
          </w:p>
        </w:tc>
        <w:tc>
          <w:tcPr>
            <w:tcW w:w="2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2682A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339EA05B"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校准结果不确定度：</w:t>
      </w:r>
    </w:p>
    <w:p w14:paraId="709C3562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271F9B09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607E9348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2CB269F5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41B3B3C5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65F81988">
      <w:pPr>
        <w:pStyle w:val="36"/>
        <w:ind w:firstLine="0" w:firstLineChars="0"/>
        <w:jc w:val="both"/>
        <w:rPr>
          <w:rFonts w:ascii="黑体" w:hAnsi="黑体" w:eastAsia="黑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ragraph">
                  <wp:posOffset>882015</wp:posOffset>
                </wp:positionV>
                <wp:extent cx="533400" cy="1874520"/>
                <wp:effectExtent l="0" t="0" r="0" b="0"/>
                <wp:wrapNone/>
                <wp:docPr id="1" name="Text Box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87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DFD038E"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JJF （皖）XXXX—XXXX </w:t>
                            </w:r>
                          </w:p>
                          <w:p w14:paraId="4907425B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1" o:spid="_x0000_s1026" o:spt="202" type="#_x0000_t202" style="position:absolute;left:0pt;margin-left:418.5pt;margin-top:69.45pt;height:147.6pt;width:42pt;z-index:251663360;mso-width-relative:page;mso-height-relative:page;" filled="f" stroked="f" coordsize="21600,21600" o:gfxdata="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2F3OW9sAAAALAQAADwAAAAAAAAAB&#10;ACAAAAAiAAAAZHJzL2Rvd25yZXYueG1sUEsBAhQAFAAAAAgAh07iQIRDoCENAgAAJwQAAA4AAAAA&#10;AAAAAQAgAAAAKgEAAGRycy9lMm9Eb2MueG1sUEsFBgAAAAAGAAYAWQEAAKkFAAAA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1DFD038E"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JJF （皖）XXXX—XXXX </w:t>
                      </w:r>
                    </w:p>
                    <w:p w14:paraId="4907425B"/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 xml:space="preserve">          </w:t>
      </w:r>
    </w:p>
    <w:p w14:paraId="77EA81D2"/>
    <w:p w14:paraId="5B2F4D40"/>
    <w:p w14:paraId="3A552A5A"/>
    <w:p w14:paraId="69419FB7"/>
    <w:p w14:paraId="58F63B9E"/>
    <w:p w14:paraId="369AA173"/>
    <w:p w14:paraId="19CD1E4E"/>
    <w:p w14:paraId="246A6365"/>
    <w:p w14:paraId="292E27C1"/>
    <w:p w14:paraId="1273AF81"/>
    <w:p w14:paraId="0568488F"/>
    <w:p w14:paraId="2A7CACA0"/>
    <w:p w14:paraId="790F681C"/>
    <w:p w14:paraId="627EBEF3"/>
    <w:p w14:paraId="09396861"/>
    <w:p w14:paraId="7FCD15E7"/>
    <w:p w14:paraId="00A11899"/>
    <w:p w14:paraId="700F562A"/>
    <w:p w14:paraId="4E19EA4E"/>
    <w:p w14:paraId="2D36D91C"/>
    <w:p w14:paraId="48C5740E"/>
    <w:p w14:paraId="623184C8">
      <w:pPr>
        <w:tabs>
          <w:tab w:val="left" w:pos="6300"/>
        </w:tabs>
        <w:rPr>
          <w:rFonts w:ascii="黑体" w:hAnsi="黑体" w:eastAsia="黑体"/>
          <w:sz w:val="28"/>
          <w:szCs w:val="28"/>
        </w:rPr>
      </w:pPr>
      <w:r>
        <w:tab/>
      </w:r>
      <w:r>
        <w:rPr>
          <w:rFonts w:hint="eastAsia" w:ascii="黑体" w:hAnsi="黑体" w:eastAsia="黑体"/>
          <w:sz w:val="28"/>
          <w:szCs w:val="28"/>
        </w:rPr>
        <w:t xml:space="preserve">                </w:t>
      </w:r>
    </w:p>
    <w:p w14:paraId="5BD4634E">
      <w:pPr>
        <w:pStyle w:val="36"/>
        <w:ind w:firstLine="568"/>
        <w:rPr>
          <w:rFonts w:ascii="黑体" w:hAnsi="黑体" w:eastAsia="黑体"/>
          <w:sz w:val="28"/>
          <w:szCs w:val="28"/>
        </w:rPr>
      </w:pPr>
    </w:p>
    <w:p w14:paraId="4504774D">
      <w:pPr>
        <w:pStyle w:val="36"/>
        <w:ind w:firstLine="568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                                       </w:t>
      </w:r>
    </w:p>
    <w:p w14:paraId="0AC066A8">
      <w:pPr>
        <w:pStyle w:val="36"/>
        <w:ind w:firstLine="568"/>
      </w:pPr>
      <w:r>
        <w:rPr>
          <w:rFonts w:hint="eastAsia" w:ascii="黑体" w:hAnsi="黑体" w:eastAsia="黑体"/>
          <w:sz w:val="28"/>
          <w:szCs w:val="28"/>
        </w:rPr>
        <w:t xml:space="preserve">                                         </w:t>
      </w:r>
    </w:p>
    <w:sectPr>
      <w:headerReference r:id="rId11" w:type="default"/>
      <w:footerReference r:id="rId12" w:type="default"/>
      <w:pgSz w:w="11906" w:h="16838"/>
      <w:pgMar w:top="1440" w:right="1134" w:bottom="144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文鼎齿轮体">
    <w:altName w:val="宋体"/>
    <w:panose1 w:val="020B0602010101010101"/>
    <w:charset w:val="86"/>
    <w:family w:val="swiss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BB5A2">
    <w:pPr>
      <w:pStyle w:val="14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0AD67213">
    <w:pPr>
      <w:pStyle w:val="1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9D2DD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E0B81">
    <w:pPr>
      <w:pStyle w:val="1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53369">
    <w:pPr>
      <w:pStyle w:val="14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3C06F8">
                          <w:pPr>
                            <w:pStyle w:val="1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II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liw6YyAgAAZQQAAA4AAABkcnMvZTJvRG9jLnhtbK1UzY7TMBC+I/EO&#10;lu80aRFL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yWLDpj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3C06F8">
                    <w:pPr>
                      <w:pStyle w:val="1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II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8BC15">
    <w:pPr>
      <w:pStyle w:val="14"/>
      <w:jc w:val="righ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E881B20">
                          <w:pPr>
                            <w:pStyle w:val="1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+xGDM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vsRgz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881B20">
                    <w:pPr>
                      <w:pStyle w:val="1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3A74E">
    <w:pPr>
      <w:pStyle w:val="15"/>
      <w:rPr>
        <w:rFonts w:ascii="黑体" w:hAnsi="黑体" w:eastAsia="黑体"/>
        <w:sz w:val="21"/>
        <w:szCs w:val="21"/>
      </w:rPr>
    </w:pPr>
    <w:r>
      <w:rPr>
        <w:rFonts w:hint="eastAsia" w:ascii="黑体" w:hAnsi="黑体" w:eastAsia="黑体"/>
        <w:sz w:val="21"/>
        <w:szCs w:val="21"/>
      </w:rPr>
      <w:t>JJF（皖）XXXX—XXXX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15F78">
    <w:pPr>
      <w:pStyle w:val="15"/>
    </w:pPr>
    <w:r>
      <w:rPr>
        <w:rFonts w:hint="eastAsia" w:ascii="黑体" w:eastAsia="黑体"/>
        <w:sz w:val="21"/>
        <w:szCs w:val="21"/>
      </w:rPr>
      <w:t>JJF（苏）XX-2010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3EB4E">
    <w:pPr>
      <w:pStyle w:val="15"/>
      <w:adjustRightInd w:val="0"/>
    </w:pPr>
    <w:r>
      <w:rPr>
        <w:rFonts w:hint="eastAsia" w:ascii="黑体" w:hAnsi="黑体" w:eastAsia="黑体"/>
        <w:sz w:val="21"/>
        <w:szCs w:val="21"/>
      </w:rPr>
      <w:t>JJF（皖）XXXX—XXXX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C300C">
    <w:pPr>
      <w:pStyle w:val="15"/>
      <w:rPr>
        <w:rFonts w:ascii="黑体" w:hAnsi="黑体" w:eastAsia="黑体"/>
        <w:sz w:val="21"/>
        <w:szCs w:val="21"/>
      </w:rPr>
    </w:pPr>
  </w:p>
  <w:p w14:paraId="022DCAA9">
    <w:pPr>
      <w:pStyle w:val="15"/>
      <w:rPr>
        <w:rFonts w:ascii="黑体" w:eastAsia="黑体"/>
      </w:rPr>
    </w:pPr>
    <w:r>
      <w:rPr>
        <w:rFonts w:hint="eastAsia" w:ascii="黑体" w:hAnsi="黑体" w:eastAsia="黑体"/>
        <w:sz w:val="21"/>
        <w:szCs w:val="21"/>
      </w:rPr>
      <w:t>JJF（皖）XXXX—XXXX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D0A07">
    <w:pPr>
      <w:pStyle w:val="15"/>
      <w:rPr>
        <w:rFonts w:ascii="黑体" w:hAnsi="黑体" w:eastAsia="黑体"/>
        <w:sz w:val="21"/>
        <w:szCs w:val="21"/>
      </w:rPr>
    </w:pPr>
  </w:p>
  <w:p w14:paraId="236FA8E5">
    <w:pPr>
      <w:pStyle w:val="15"/>
    </w:pPr>
    <w:r>
      <w:rPr>
        <w:rFonts w:hint="eastAsia" w:ascii="黑体" w:hAnsi="黑体" w:eastAsia="黑体"/>
        <w:sz w:val="21"/>
        <w:szCs w:val="21"/>
      </w:rPr>
      <w:t>JJF（皖）XXXX—XXXX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none"/>
      <w:pStyle w:val="52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35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4"/>
        <w:szCs w:val="24"/>
      </w:rPr>
    </w:lvl>
    <w:lvl w:ilvl="2" w:tentative="0">
      <w:start w:val="1"/>
      <w:numFmt w:val="decimal"/>
      <w:pStyle w:val="34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宋体" w:cs="Times New Roman"/>
        <w:b w:val="0"/>
        <w:i w:val="0"/>
        <w:sz w:val="24"/>
        <w:szCs w:val="24"/>
      </w:rPr>
    </w:lvl>
    <w:lvl w:ilvl="3" w:tentative="0">
      <w:start w:val="1"/>
      <w:numFmt w:val="decimal"/>
      <w:pStyle w:val="33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宋体" w:cs="Times New Roman"/>
        <w:b w:val="0"/>
        <w:i w:val="0"/>
        <w:sz w:val="24"/>
        <w:szCs w:val="24"/>
      </w:rPr>
    </w:lvl>
    <w:lvl w:ilvl="4" w:tentative="0">
      <w:start w:val="1"/>
      <w:numFmt w:val="decimal"/>
      <w:pStyle w:val="32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31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30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28"/>
      <w:suff w:val="nothing"/>
      <w:lvlText w:val="%1.%2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2">
    <w:nsid w:val="4C67C12B"/>
    <w:multiLevelType w:val="singleLevel"/>
    <w:tmpl w:val="4C67C12B"/>
    <w:lvl w:ilvl="0" w:tentative="0">
      <w:start w:val="1"/>
      <w:numFmt w:val="decimal"/>
      <w:suff w:val="nothing"/>
      <w:lvlText w:val="%1-"/>
      <w:lvlJc w:val="left"/>
    </w:lvl>
  </w:abstractNum>
  <w:abstractNum w:abstractNumId="3">
    <w:nsid w:val="6C177485"/>
    <w:multiLevelType w:val="singleLevel"/>
    <w:tmpl w:val="6C177485"/>
    <w:lvl w:ilvl="0" w:tentative="0">
      <w:start w:val="1"/>
      <w:numFmt w:val="decimal"/>
      <w:pStyle w:val="37"/>
      <w:lvlText w:val="%1."/>
      <w:lvlJc w:val="left"/>
      <w:pPr>
        <w:tabs>
          <w:tab w:val="left" w:pos="165"/>
        </w:tabs>
        <w:ind w:left="165" w:hanging="165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2"/>
  <w:drawingGridVerticalSpacing w:val="3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MzJmMmVkZTA4N2RmZWMyYjJhMzY0Y2FiM2RlYTIifQ=="/>
  </w:docVars>
  <w:rsids>
    <w:rsidRoot w:val="00172A27"/>
    <w:rsid w:val="00004193"/>
    <w:rsid w:val="00005BA2"/>
    <w:rsid w:val="000068F2"/>
    <w:rsid w:val="00007D0F"/>
    <w:rsid w:val="00007D7C"/>
    <w:rsid w:val="00007FCF"/>
    <w:rsid w:val="00007FDD"/>
    <w:rsid w:val="00010965"/>
    <w:rsid w:val="0001153E"/>
    <w:rsid w:val="00012344"/>
    <w:rsid w:val="00013F5B"/>
    <w:rsid w:val="000147BD"/>
    <w:rsid w:val="00015B5A"/>
    <w:rsid w:val="00015F95"/>
    <w:rsid w:val="0001627C"/>
    <w:rsid w:val="00016463"/>
    <w:rsid w:val="000166DD"/>
    <w:rsid w:val="00016B5A"/>
    <w:rsid w:val="00017493"/>
    <w:rsid w:val="00021099"/>
    <w:rsid w:val="000217DC"/>
    <w:rsid w:val="0002258D"/>
    <w:rsid w:val="00023B0A"/>
    <w:rsid w:val="00023F40"/>
    <w:rsid w:val="000244C3"/>
    <w:rsid w:val="0002622E"/>
    <w:rsid w:val="00027034"/>
    <w:rsid w:val="000272A3"/>
    <w:rsid w:val="000277C4"/>
    <w:rsid w:val="0003017A"/>
    <w:rsid w:val="000325E1"/>
    <w:rsid w:val="00033482"/>
    <w:rsid w:val="00033930"/>
    <w:rsid w:val="0003686F"/>
    <w:rsid w:val="00037A8D"/>
    <w:rsid w:val="000403A3"/>
    <w:rsid w:val="000419C1"/>
    <w:rsid w:val="000419EA"/>
    <w:rsid w:val="0004206D"/>
    <w:rsid w:val="00042176"/>
    <w:rsid w:val="000436D4"/>
    <w:rsid w:val="000458BB"/>
    <w:rsid w:val="00046E4E"/>
    <w:rsid w:val="00047757"/>
    <w:rsid w:val="000501EF"/>
    <w:rsid w:val="00050681"/>
    <w:rsid w:val="00052796"/>
    <w:rsid w:val="00052B2E"/>
    <w:rsid w:val="00054268"/>
    <w:rsid w:val="0005457F"/>
    <w:rsid w:val="00056BC2"/>
    <w:rsid w:val="00061C3E"/>
    <w:rsid w:val="000623BA"/>
    <w:rsid w:val="000633EF"/>
    <w:rsid w:val="00063FAB"/>
    <w:rsid w:val="00064286"/>
    <w:rsid w:val="000644EF"/>
    <w:rsid w:val="00065358"/>
    <w:rsid w:val="0006578D"/>
    <w:rsid w:val="000700B8"/>
    <w:rsid w:val="00070664"/>
    <w:rsid w:val="00070747"/>
    <w:rsid w:val="00070C14"/>
    <w:rsid w:val="00071BE8"/>
    <w:rsid w:val="00072210"/>
    <w:rsid w:val="00072822"/>
    <w:rsid w:val="0007290A"/>
    <w:rsid w:val="000742F4"/>
    <w:rsid w:val="00075E92"/>
    <w:rsid w:val="00077392"/>
    <w:rsid w:val="00077C55"/>
    <w:rsid w:val="00077D5B"/>
    <w:rsid w:val="000812AA"/>
    <w:rsid w:val="00081C65"/>
    <w:rsid w:val="00082067"/>
    <w:rsid w:val="00083E50"/>
    <w:rsid w:val="00084346"/>
    <w:rsid w:val="00084C47"/>
    <w:rsid w:val="0008517A"/>
    <w:rsid w:val="00085324"/>
    <w:rsid w:val="00090249"/>
    <w:rsid w:val="00091F28"/>
    <w:rsid w:val="00093A95"/>
    <w:rsid w:val="00095249"/>
    <w:rsid w:val="00097C56"/>
    <w:rsid w:val="000A0652"/>
    <w:rsid w:val="000A06F9"/>
    <w:rsid w:val="000A2574"/>
    <w:rsid w:val="000A2F66"/>
    <w:rsid w:val="000A4DC8"/>
    <w:rsid w:val="000A4F7F"/>
    <w:rsid w:val="000A5CA8"/>
    <w:rsid w:val="000A73A2"/>
    <w:rsid w:val="000B01EB"/>
    <w:rsid w:val="000B03C0"/>
    <w:rsid w:val="000B13A2"/>
    <w:rsid w:val="000B1AB0"/>
    <w:rsid w:val="000B1B1E"/>
    <w:rsid w:val="000B274B"/>
    <w:rsid w:val="000B5886"/>
    <w:rsid w:val="000B6BE9"/>
    <w:rsid w:val="000B7257"/>
    <w:rsid w:val="000B7FB7"/>
    <w:rsid w:val="000C0284"/>
    <w:rsid w:val="000C26C7"/>
    <w:rsid w:val="000C35BB"/>
    <w:rsid w:val="000C43E8"/>
    <w:rsid w:val="000C5198"/>
    <w:rsid w:val="000C5858"/>
    <w:rsid w:val="000C5FC0"/>
    <w:rsid w:val="000C6C96"/>
    <w:rsid w:val="000C7A50"/>
    <w:rsid w:val="000C7EED"/>
    <w:rsid w:val="000D0450"/>
    <w:rsid w:val="000D1340"/>
    <w:rsid w:val="000D145B"/>
    <w:rsid w:val="000D2B43"/>
    <w:rsid w:val="000D30BB"/>
    <w:rsid w:val="000D33D9"/>
    <w:rsid w:val="000D5AFB"/>
    <w:rsid w:val="000D5CC3"/>
    <w:rsid w:val="000D5D67"/>
    <w:rsid w:val="000D6281"/>
    <w:rsid w:val="000D63E2"/>
    <w:rsid w:val="000D7549"/>
    <w:rsid w:val="000E0AE5"/>
    <w:rsid w:val="000E10EC"/>
    <w:rsid w:val="000E1A6B"/>
    <w:rsid w:val="000E1EB4"/>
    <w:rsid w:val="000E1FC2"/>
    <w:rsid w:val="000E2099"/>
    <w:rsid w:val="000E23F2"/>
    <w:rsid w:val="000E2980"/>
    <w:rsid w:val="000E2A69"/>
    <w:rsid w:val="000E333E"/>
    <w:rsid w:val="000E33AD"/>
    <w:rsid w:val="000E712E"/>
    <w:rsid w:val="000E74FA"/>
    <w:rsid w:val="000F1B4A"/>
    <w:rsid w:val="000F1BFA"/>
    <w:rsid w:val="000F3CAB"/>
    <w:rsid w:val="000F5521"/>
    <w:rsid w:val="000F5ADD"/>
    <w:rsid w:val="000F7979"/>
    <w:rsid w:val="000F7CA3"/>
    <w:rsid w:val="001020C0"/>
    <w:rsid w:val="00103922"/>
    <w:rsid w:val="0010478C"/>
    <w:rsid w:val="00105F0B"/>
    <w:rsid w:val="00107DA9"/>
    <w:rsid w:val="00107F0A"/>
    <w:rsid w:val="001104DE"/>
    <w:rsid w:val="00114DDD"/>
    <w:rsid w:val="00115E3A"/>
    <w:rsid w:val="00115E93"/>
    <w:rsid w:val="00116020"/>
    <w:rsid w:val="00116AC9"/>
    <w:rsid w:val="00116F93"/>
    <w:rsid w:val="00117E8A"/>
    <w:rsid w:val="00120571"/>
    <w:rsid w:val="00120846"/>
    <w:rsid w:val="0012097D"/>
    <w:rsid w:val="00121033"/>
    <w:rsid w:val="00121505"/>
    <w:rsid w:val="0012166A"/>
    <w:rsid w:val="001223AD"/>
    <w:rsid w:val="001244F3"/>
    <w:rsid w:val="00125565"/>
    <w:rsid w:val="001256BD"/>
    <w:rsid w:val="00125E61"/>
    <w:rsid w:val="001262DA"/>
    <w:rsid w:val="0012664C"/>
    <w:rsid w:val="00126B4A"/>
    <w:rsid w:val="00132123"/>
    <w:rsid w:val="00133367"/>
    <w:rsid w:val="0013446D"/>
    <w:rsid w:val="00134D60"/>
    <w:rsid w:val="00134F11"/>
    <w:rsid w:val="001352AD"/>
    <w:rsid w:val="001353AC"/>
    <w:rsid w:val="00140311"/>
    <w:rsid w:val="00140F32"/>
    <w:rsid w:val="00142700"/>
    <w:rsid w:val="001445C3"/>
    <w:rsid w:val="00146D43"/>
    <w:rsid w:val="001519E3"/>
    <w:rsid w:val="00152741"/>
    <w:rsid w:val="00152829"/>
    <w:rsid w:val="00152A19"/>
    <w:rsid w:val="00152EE3"/>
    <w:rsid w:val="0015431C"/>
    <w:rsid w:val="001547A4"/>
    <w:rsid w:val="00156E70"/>
    <w:rsid w:val="00156F25"/>
    <w:rsid w:val="00160261"/>
    <w:rsid w:val="00161239"/>
    <w:rsid w:val="00162CAD"/>
    <w:rsid w:val="00163B32"/>
    <w:rsid w:val="00164B59"/>
    <w:rsid w:val="00165945"/>
    <w:rsid w:val="00166AA3"/>
    <w:rsid w:val="00166D44"/>
    <w:rsid w:val="0016778F"/>
    <w:rsid w:val="0016788B"/>
    <w:rsid w:val="00167AAF"/>
    <w:rsid w:val="001706E0"/>
    <w:rsid w:val="0017157B"/>
    <w:rsid w:val="00171A19"/>
    <w:rsid w:val="00172A27"/>
    <w:rsid w:val="00173260"/>
    <w:rsid w:val="00173876"/>
    <w:rsid w:val="00173B20"/>
    <w:rsid w:val="00174D81"/>
    <w:rsid w:val="0017516D"/>
    <w:rsid w:val="0018000D"/>
    <w:rsid w:val="0018070C"/>
    <w:rsid w:val="001808F2"/>
    <w:rsid w:val="00181651"/>
    <w:rsid w:val="00183827"/>
    <w:rsid w:val="00185C4C"/>
    <w:rsid w:val="00186D84"/>
    <w:rsid w:val="00190370"/>
    <w:rsid w:val="00190D53"/>
    <w:rsid w:val="001923EE"/>
    <w:rsid w:val="00192C0C"/>
    <w:rsid w:val="00192FE9"/>
    <w:rsid w:val="0019379A"/>
    <w:rsid w:val="00193BF4"/>
    <w:rsid w:val="0019597E"/>
    <w:rsid w:val="00195F99"/>
    <w:rsid w:val="001967CC"/>
    <w:rsid w:val="001969CB"/>
    <w:rsid w:val="00196A8B"/>
    <w:rsid w:val="00197BEF"/>
    <w:rsid w:val="001A0A2A"/>
    <w:rsid w:val="001A11B2"/>
    <w:rsid w:val="001A125E"/>
    <w:rsid w:val="001A1871"/>
    <w:rsid w:val="001A1A02"/>
    <w:rsid w:val="001A4185"/>
    <w:rsid w:val="001A4E64"/>
    <w:rsid w:val="001A587F"/>
    <w:rsid w:val="001A6A16"/>
    <w:rsid w:val="001B03A4"/>
    <w:rsid w:val="001B171F"/>
    <w:rsid w:val="001B1AAF"/>
    <w:rsid w:val="001B2B06"/>
    <w:rsid w:val="001B3B02"/>
    <w:rsid w:val="001B4184"/>
    <w:rsid w:val="001B5A94"/>
    <w:rsid w:val="001B69DF"/>
    <w:rsid w:val="001C0049"/>
    <w:rsid w:val="001C4E32"/>
    <w:rsid w:val="001C54C3"/>
    <w:rsid w:val="001C5708"/>
    <w:rsid w:val="001C7112"/>
    <w:rsid w:val="001C7D1A"/>
    <w:rsid w:val="001D1AD3"/>
    <w:rsid w:val="001D1AD8"/>
    <w:rsid w:val="001D212E"/>
    <w:rsid w:val="001D2D66"/>
    <w:rsid w:val="001D307E"/>
    <w:rsid w:val="001D3A15"/>
    <w:rsid w:val="001D4174"/>
    <w:rsid w:val="001D46CD"/>
    <w:rsid w:val="001D48E2"/>
    <w:rsid w:val="001D5353"/>
    <w:rsid w:val="001D585B"/>
    <w:rsid w:val="001D588D"/>
    <w:rsid w:val="001D66C4"/>
    <w:rsid w:val="001E02F8"/>
    <w:rsid w:val="001E1636"/>
    <w:rsid w:val="001E1C77"/>
    <w:rsid w:val="001E2A63"/>
    <w:rsid w:val="001E3210"/>
    <w:rsid w:val="001E3751"/>
    <w:rsid w:val="001E3783"/>
    <w:rsid w:val="001E3A0C"/>
    <w:rsid w:val="001E44D3"/>
    <w:rsid w:val="001E49DA"/>
    <w:rsid w:val="001E4D1D"/>
    <w:rsid w:val="001E4EC0"/>
    <w:rsid w:val="001E6906"/>
    <w:rsid w:val="001F07E9"/>
    <w:rsid w:val="001F183E"/>
    <w:rsid w:val="001F2126"/>
    <w:rsid w:val="001F3D33"/>
    <w:rsid w:val="001F495A"/>
    <w:rsid w:val="001F6B70"/>
    <w:rsid w:val="0020044D"/>
    <w:rsid w:val="0020062E"/>
    <w:rsid w:val="00201238"/>
    <w:rsid w:val="002029B4"/>
    <w:rsid w:val="00202E77"/>
    <w:rsid w:val="002053FB"/>
    <w:rsid w:val="00206552"/>
    <w:rsid w:val="00206BAC"/>
    <w:rsid w:val="0021164B"/>
    <w:rsid w:val="00211F33"/>
    <w:rsid w:val="00212D71"/>
    <w:rsid w:val="00213FB1"/>
    <w:rsid w:val="002142EB"/>
    <w:rsid w:val="00215031"/>
    <w:rsid w:val="002150E8"/>
    <w:rsid w:val="00215A5B"/>
    <w:rsid w:val="00220EA8"/>
    <w:rsid w:val="00220F18"/>
    <w:rsid w:val="00221C89"/>
    <w:rsid w:val="00222F1B"/>
    <w:rsid w:val="00223DB3"/>
    <w:rsid w:val="00224CCF"/>
    <w:rsid w:val="00224F3C"/>
    <w:rsid w:val="00230DB0"/>
    <w:rsid w:val="00230E54"/>
    <w:rsid w:val="00231A32"/>
    <w:rsid w:val="00234393"/>
    <w:rsid w:val="0023559E"/>
    <w:rsid w:val="002356E6"/>
    <w:rsid w:val="002366A6"/>
    <w:rsid w:val="00236709"/>
    <w:rsid w:val="00236CD4"/>
    <w:rsid w:val="00237425"/>
    <w:rsid w:val="00237EA5"/>
    <w:rsid w:val="002400D0"/>
    <w:rsid w:val="002404E4"/>
    <w:rsid w:val="00240DBE"/>
    <w:rsid w:val="002429E6"/>
    <w:rsid w:val="0024302E"/>
    <w:rsid w:val="00243EF2"/>
    <w:rsid w:val="00244B77"/>
    <w:rsid w:val="00245C42"/>
    <w:rsid w:val="00245F35"/>
    <w:rsid w:val="00246102"/>
    <w:rsid w:val="002467E4"/>
    <w:rsid w:val="00251032"/>
    <w:rsid w:val="0025172F"/>
    <w:rsid w:val="0025248F"/>
    <w:rsid w:val="00253C0C"/>
    <w:rsid w:val="00257C76"/>
    <w:rsid w:val="00257D5D"/>
    <w:rsid w:val="00260CD7"/>
    <w:rsid w:val="00260D6D"/>
    <w:rsid w:val="002618FA"/>
    <w:rsid w:val="00261D35"/>
    <w:rsid w:val="00262A98"/>
    <w:rsid w:val="00263732"/>
    <w:rsid w:val="0026493F"/>
    <w:rsid w:val="00266A8E"/>
    <w:rsid w:val="002714D0"/>
    <w:rsid w:val="002727A9"/>
    <w:rsid w:val="002738B7"/>
    <w:rsid w:val="0027418F"/>
    <w:rsid w:val="002744CB"/>
    <w:rsid w:val="002744E5"/>
    <w:rsid w:val="00277035"/>
    <w:rsid w:val="00280018"/>
    <w:rsid w:val="00281063"/>
    <w:rsid w:val="002822E6"/>
    <w:rsid w:val="00283A3B"/>
    <w:rsid w:val="00283D0B"/>
    <w:rsid w:val="00284683"/>
    <w:rsid w:val="00284F1E"/>
    <w:rsid w:val="0028526D"/>
    <w:rsid w:val="00290B3A"/>
    <w:rsid w:val="002915E9"/>
    <w:rsid w:val="002942AB"/>
    <w:rsid w:val="00296BB4"/>
    <w:rsid w:val="002A0E67"/>
    <w:rsid w:val="002A0EED"/>
    <w:rsid w:val="002A1B10"/>
    <w:rsid w:val="002A1FB2"/>
    <w:rsid w:val="002A2015"/>
    <w:rsid w:val="002A30C1"/>
    <w:rsid w:val="002A3A29"/>
    <w:rsid w:val="002A4FED"/>
    <w:rsid w:val="002A588A"/>
    <w:rsid w:val="002A5902"/>
    <w:rsid w:val="002A5D4A"/>
    <w:rsid w:val="002A6D55"/>
    <w:rsid w:val="002A6F22"/>
    <w:rsid w:val="002B0AE0"/>
    <w:rsid w:val="002B168A"/>
    <w:rsid w:val="002B1AB7"/>
    <w:rsid w:val="002B1BB3"/>
    <w:rsid w:val="002B1CCA"/>
    <w:rsid w:val="002B2049"/>
    <w:rsid w:val="002B2ACD"/>
    <w:rsid w:val="002B35BC"/>
    <w:rsid w:val="002B4519"/>
    <w:rsid w:val="002B51DD"/>
    <w:rsid w:val="002B57D3"/>
    <w:rsid w:val="002B5C49"/>
    <w:rsid w:val="002B6781"/>
    <w:rsid w:val="002B7A68"/>
    <w:rsid w:val="002C006A"/>
    <w:rsid w:val="002C08A5"/>
    <w:rsid w:val="002C0DFF"/>
    <w:rsid w:val="002C19DF"/>
    <w:rsid w:val="002C1C16"/>
    <w:rsid w:val="002C1E45"/>
    <w:rsid w:val="002C1FD6"/>
    <w:rsid w:val="002C3D26"/>
    <w:rsid w:val="002C4100"/>
    <w:rsid w:val="002C5125"/>
    <w:rsid w:val="002C5E30"/>
    <w:rsid w:val="002C64F6"/>
    <w:rsid w:val="002C7D31"/>
    <w:rsid w:val="002D060E"/>
    <w:rsid w:val="002D1C8C"/>
    <w:rsid w:val="002D538B"/>
    <w:rsid w:val="002D5698"/>
    <w:rsid w:val="002D64A6"/>
    <w:rsid w:val="002D6ACB"/>
    <w:rsid w:val="002D7068"/>
    <w:rsid w:val="002D7AF4"/>
    <w:rsid w:val="002E08CC"/>
    <w:rsid w:val="002E1CCC"/>
    <w:rsid w:val="002E233A"/>
    <w:rsid w:val="002E235B"/>
    <w:rsid w:val="002E3424"/>
    <w:rsid w:val="002E3759"/>
    <w:rsid w:val="002E3D7E"/>
    <w:rsid w:val="002E4303"/>
    <w:rsid w:val="002E4E52"/>
    <w:rsid w:val="002E6E25"/>
    <w:rsid w:val="002F13C2"/>
    <w:rsid w:val="002F1AE9"/>
    <w:rsid w:val="002F1E5C"/>
    <w:rsid w:val="002F271B"/>
    <w:rsid w:val="002F2E00"/>
    <w:rsid w:val="002F5CE7"/>
    <w:rsid w:val="002F624B"/>
    <w:rsid w:val="002F78E4"/>
    <w:rsid w:val="002F78ED"/>
    <w:rsid w:val="003006C6"/>
    <w:rsid w:val="00301863"/>
    <w:rsid w:val="003034EA"/>
    <w:rsid w:val="003067EC"/>
    <w:rsid w:val="00312EF0"/>
    <w:rsid w:val="0031322C"/>
    <w:rsid w:val="00313A3D"/>
    <w:rsid w:val="00314624"/>
    <w:rsid w:val="003148EC"/>
    <w:rsid w:val="00314C7E"/>
    <w:rsid w:val="00315E8D"/>
    <w:rsid w:val="003162C6"/>
    <w:rsid w:val="00316654"/>
    <w:rsid w:val="00316DEF"/>
    <w:rsid w:val="00316DF2"/>
    <w:rsid w:val="003171EF"/>
    <w:rsid w:val="003174F4"/>
    <w:rsid w:val="00317886"/>
    <w:rsid w:val="0032168D"/>
    <w:rsid w:val="00324AD8"/>
    <w:rsid w:val="00324BB6"/>
    <w:rsid w:val="00324C58"/>
    <w:rsid w:val="00325E53"/>
    <w:rsid w:val="00327364"/>
    <w:rsid w:val="00330027"/>
    <w:rsid w:val="00330791"/>
    <w:rsid w:val="003316CF"/>
    <w:rsid w:val="0033275F"/>
    <w:rsid w:val="00332E15"/>
    <w:rsid w:val="00333988"/>
    <w:rsid w:val="003349D8"/>
    <w:rsid w:val="00335016"/>
    <w:rsid w:val="003352E9"/>
    <w:rsid w:val="00335720"/>
    <w:rsid w:val="00335C02"/>
    <w:rsid w:val="003363E6"/>
    <w:rsid w:val="00336DB7"/>
    <w:rsid w:val="0033715C"/>
    <w:rsid w:val="00337B11"/>
    <w:rsid w:val="00341A3C"/>
    <w:rsid w:val="00341CA5"/>
    <w:rsid w:val="00343186"/>
    <w:rsid w:val="00343EFE"/>
    <w:rsid w:val="00344533"/>
    <w:rsid w:val="00344EA4"/>
    <w:rsid w:val="00345181"/>
    <w:rsid w:val="003456F5"/>
    <w:rsid w:val="00346CB9"/>
    <w:rsid w:val="00351B18"/>
    <w:rsid w:val="00351B4F"/>
    <w:rsid w:val="00351C9F"/>
    <w:rsid w:val="003538D6"/>
    <w:rsid w:val="00353F83"/>
    <w:rsid w:val="003549F8"/>
    <w:rsid w:val="00354C27"/>
    <w:rsid w:val="003557D4"/>
    <w:rsid w:val="00355BC4"/>
    <w:rsid w:val="00355FB7"/>
    <w:rsid w:val="00356641"/>
    <w:rsid w:val="003568D5"/>
    <w:rsid w:val="00361797"/>
    <w:rsid w:val="003628AF"/>
    <w:rsid w:val="003643C7"/>
    <w:rsid w:val="00365CE3"/>
    <w:rsid w:val="003678C0"/>
    <w:rsid w:val="0037070B"/>
    <w:rsid w:val="003710A5"/>
    <w:rsid w:val="0037172A"/>
    <w:rsid w:val="003737CB"/>
    <w:rsid w:val="00373BFB"/>
    <w:rsid w:val="003801B2"/>
    <w:rsid w:val="0038098A"/>
    <w:rsid w:val="00380DC3"/>
    <w:rsid w:val="00381231"/>
    <w:rsid w:val="00382394"/>
    <w:rsid w:val="003823B3"/>
    <w:rsid w:val="00382508"/>
    <w:rsid w:val="003829C0"/>
    <w:rsid w:val="003845AC"/>
    <w:rsid w:val="003845CC"/>
    <w:rsid w:val="0038497C"/>
    <w:rsid w:val="0038655C"/>
    <w:rsid w:val="00386DD0"/>
    <w:rsid w:val="00387295"/>
    <w:rsid w:val="00387EF8"/>
    <w:rsid w:val="00391392"/>
    <w:rsid w:val="003928EB"/>
    <w:rsid w:val="00394EAC"/>
    <w:rsid w:val="003955B8"/>
    <w:rsid w:val="00395D0F"/>
    <w:rsid w:val="003967A9"/>
    <w:rsid w:val="0039700E"/>
    <w:rsid w:val="003971DC"/>
    <w:rsid w:val="003A0278"/>
    <w:rsid w:val="003A08FF"/>
    <w:rsid w:val="003A0E65"/>
    <w:rsid w:val="003A106A"/>
    <w:rsid w:val="003A10C7"/>
    <w:rsid w:val="003A2955"/>
    <w:rsid w:val="003A36D1"/>
    <w:rsid w:val="003A3EF8"/>
    <w:rsid w:val="003A4101"/>
    <w:rsid w:val="003A4A33"/>
    <w:rsid w:val="003A5EAB"/>
    <w:rsid w:val="003A5EBA"/>
    <w:rsid w:val="003A690D"/>
    <w:rsid w:val="003A791D"/>
    <w:rsid w:val="003B0166"/>
    <w:rsid w:val="003B0347"/>
    <w:rsid w:val="003B2170"/>
    <w:rsid w:val="003B3AE1"/>
    <w:rsid w:val="003B4005"/>
    <w:rsid w:val="003B40C6"/>
    <w:rsid w:val="003B4D24"/>
    <w:rsid w:val="003B6953"/>
    <w:rsid w:val="003B6CCC"/>
    <w:rsid w:val="003B7793"/>
    <w:rsid w:val="003C098C"/>
    <w:rsid w:val="003C1836"/>
    <w:rsid w:val="003C26DD"/>
    <w:rsid w:val="003C38AA"/>
    <w:rsid w:val="003C3CCA"/>
    <w:rsid w:val="003C49C4"/>
    <w:rsid w:val="003C5C60"/>
    <w:rsid w:val="003C68F2"/>
    <w:rsid w:val="003C75E3"/>
    <w:rsid w:val="003C7AEF"/>
    <w:rsid w:val="003C7D9A"/>
    <w:rsid w:val="003D1C42"/>
    <w:rsid w:val="003D20CB"/>
    <w:rsid w:val="003D2419"/>
    <w:rsid w:val="003D262E"/>
    <w:rsid w:val="003D39C3"/>
    <w:rsid w:val="003D4CF1"/>
    <w:rsid w:val="003D63BC"/>
    <w:rsid w:val="003D75F1"/>
    <w:rsid w:val="003D76CD"/>
    <w:rsid w:val="003E0DEA"/>
    <w:rsid w:val="003E290D"/>
    <w:rsid w:val="003E3FF7"/>
    <w:rsid w:val="003E589A"/>
    <w:rsid w:val="003E6BE5"/>
    <w:rsid w:val="003E7091"/>
    <w:rsid w:val="003F0C3D"/>
    <w:rsid w:val="003F1629"/>
    <w:rsid w:val="003F1F7B"/>
    <w:rsid w:val="003F2E1A"/>
    <w:rsid w:val="003F4F36"/>
    <w:rsid w:val="00402F96"/>
    <w:rsid w:val="00404B1F"/>
    <w:rsid w:val="00406004"/>
    <w:rsid w:val="00406097"/>
    <w:rsid w:val="00406775"/>
    <w:rsid w:val="0040754C"/>
    <w:rsid w:val="00410090"/>
    <w:rsid w:val="0041063A"/>
    <w:rsid w:val="004116FD"/>
    <w:rsid w:val="00411B19"/>
    <w:rsid w:val="00413F82"/>
    <w:rsid w:val="00416072"/>
    <w:rsid w:val="00417E01"/>
    <w:rsid w:val="00422848"/>
    <w:rsid w:val="00422A21"/>
    <w:rsid w:val="00422A53"/>
    <w:rsid w:val="00423F8A"/>
    <w:rsid w:val="0042437E"/>
    <w:rsid w:val="00425075"/>
    <w:rsid w:val="004256A2"/>
    <w:rsid w:val="00427CB1"/>
    <w:rsid w:val="00435CCF"/>
    <w:rsid w:val="00440FCE"/>
    <w:rsid w:val="00441065"/>
    <w:rsid w:val="004420BE"/>
    <w:rsid w:val="004423CE"/>
    <w:rsid w:val="0044248C"/>
    <w:rsid w:val="00442708"/>
    <w:rsid w:val="00442A9D"/>
    <w:rsid w:val="00443C09"/>
    <w:rsid w:val="00443DFD"/>
    <w:rsid w:val="00444496"/>
    <w:rsid w:val="0044538D"/>
    <w:rsid w:val="00447236"/>
    <w:rsid w:val="00447829"/>
    <w:rsid w:val="004506EB"/>
    <w:rsid w:val="004516DF"/>
    <w:rsid w:val="00451C96"/>
    <w:rsid w:val="0045211A"/>
    <w:rsid w:val="0045273E"/>
    <w:rsid w:val="00452B40"/>
    <w:rsid w:val="00452C24"/>
    <w:rsid w:val="004551F5"/>
    <w:rsid w:val="00455FE0"/>
    <w:rsid w:val="0045664A"/>
    <w:rsid w:val="004579EC"/>
    <w:rsid w:val="00457CF2"/>
    <w:rsid w:val="00462D10"/>
    <w:rsid w:val="00463B94"/>
    <w:rsid w:val="0046473A"/>
    <w:rsid w:val="004658AD"/>
    <w:rsid w:val="00466095"/>
    <w:rsid w:val="00466550"/>
    <w:rsid w:val="0046701B"/>
    <w:rsid w:val="004679A5"/>
    <w:rsid w:val="004712A6"/>
    <w:rsid w:val="004724AC"/>
    <w:rsid w:val="0047296F"/>
    <w:rsid w:val="00474518"/>
    <w:rsid w:val="00476D65"/>
    <w:rsid w:val="00477AB3"/>
    <w:rsid w:val="00477D46"/>
    <w:rsid w:val="00480E49"/>
    <w:rsid w:val="00480F5A"/>
    <w:rsid w:val="00481998"/>
    <w:rsid w:val="004832BF"/>
    <w:rsid w:val="00485548"/>
    <w:rsid w:val="00485560"/>
    <w:rsid w:val="0048680C"/>
    <w:rsid w:val="00486AD0"/>
    <w:rsid w:val="0048744C"/>
    <w:rsid w:val="00490595"/>
    <w:rsid w:val="0049218D"/>
    <w:rsid w:val="0049229B"/>
    <w:rsid w:val="004950BF"/>
    <w:rsid w:val="004951EE"/>
    <w:rsid w:val="00496156"/>
    <w:rsid w:val="004974AF"/>
    <w:rsid w:val="004974F2"/>
    <w:rsid w:val="00497C56"/>
    <w:rsid w:val="00497DB5"/>
    <w:rsid w:val="00497E3E"/>
    <w:rsid w:val="004A02B0"/>
    <w:rsid w:val="004A2453"/>
    <w:rsid w:val="004A42E9"/>
    <w:rsid w:val="004A756C"/>
    <w:rsid w:val="004A7675"/>
    <w:rsid w:val="004B4084"/>
    <w:rsid w:val="004B50B2"/>
    <w:rsid w:val="004B62F2"/>
    <w:rsid w:val="004B63F6"/>
    <w:rsid w:val="004C01C2"/>
    <w:rsid w:val="004C0AEE"/>
    <w:rsid w:val="004C23A4"/>
    <w:rsid w:val="004C25F5"/>
    <w:rsid w:val="004C3271"/>
    <w:rsid w:val="004C412E"/>
    <w:rsid w:val="004C45C2"/>
    <w:rsid w:val="004C49F2"/>
    <w:rsid w:val="004C507A"/>
    <w:rsid w:val="004C5278"/>
    <w:rsid w:val="004C71F2"/>
    <w:rsid w:val="004C7978"/>
    <w:rsid w:val="004C7E62"/>
    <w:rsid w:val="004D3282"/>
    <w:rsid w:val="004D390A"/>
    <w:rsid w:val="004D6182"/>
    <w:rsid w:val="004D6C1E"/>
    <w:rsid w:val="004D6D18"/>
    <w:rsid w:val="004D6F92"/>
    <w:rsid w:val="004E15B3"/>
    <w:rsid w:val="004E248C"/>
    <w:rsid w:val="004E6FA8"/>
    <w:rsid w:val="004E7432"/>
    <w:rsid w:val="004F0548"/>
    <w:rsid w:val="004F07C1"/>
    <w:rsid w:val="004F123B"/>
    <w:rsid w:val="004F31AD"/>
    <w:rsid w:val="004F3A13"/>
    <w:rsid w:val="004F5A2F"/>
    <w:rsid w:val="004F65D1"/>
    <w:rsid w:val="004F6BA3"/>
    <w:rsid w:val="004F7D18"/>
    <w:rsid w:val="00501668"/>
    <w:rsid w:val="0050247D"/>
    <w:rsid w:val="00502634"/>
    <w:rsid w:val="005035FB"/>
    <w:rsid w:val="00504E65"/>
    <w:rsid w:val="005050BC"/>
    <w:rsid w:val="005060A7"/>
    <w:rsid w:val="00510C08"/>
    <w:rsid w:val="00510F84"/>
    <w:rsid w:val="0051672C"/>
    <w:rsid w:val="005170F6"/>
    <w:rsid w:val="005202FC"/>
    <w:rsid w:val="005206F2"/>
    <w:rsid w:val="00523887"/>
    <w:rsid w:val="00527D8C"/>
    <w:rsid w:val="00531992"/>
    <w:rsid w:val="005325BE"/>
    <w:rsid w:val="005331EB"/>
    <w:rsid w:val="00533222"/>
    <w:rsid w:val="0053510A"/>
    <w:rsid w:val="00537636"/>
    <w:rsid w:val="00537674"/>
    <w:rsid w:val="00537F02"/>
    <w:rsid w:val="005407D3"/>
    <w:rsid w:val="00540BD0"/>
    <w:rsid w:val="00542424"/>
    <w:rsid w:val="00544E22"/>
    <w:rsid w:val="00545DA5"/>
    <w:rsid w:val="00546385"/>
    <w:rsid w:val="005474B6"/>
    <w:rsid w:val="00547813"/>
    <w:rsid w:val="00547A37"/>
    <w:rsid w:val="00547E8C"/>
    <w:rsid w:val="00551E71"/>
    <w:rsid w:val="005544A8"/>
    <w:rsid w:val="00555312"/>
    <w:rsid w:val="00557749"/>
    <w:rsid w:val="00557EDE"/>
    <w:rsid w:val="0056062C"/>
    <w:rsid w:val="005621D4"/>
    <w:rsid w:val="00564031"/>
    <w:rsid w:val="00564D04"/>
    <w:rsid w:val="00565720"/>
    <w:rsid w:val="00570D67"/>
    <w:rsid w:val="00571875"/>
    <w:rsid w:val="00572E61"/>
    <w:rsid w:val="00573C50"/>
    <w:rsid w:val="0057427C"/>
    <w:rsid w:val="0057611B"/>
    <w:rsid w:val="00576AC3"/>
    <w:rsid w:val="00576E5D"/>
    <w:rsid w:val="0057717C"/>
    <w:rsid w:val="005804C8"/>
    <w:rsid w:val="00584567"/>
    <w:rsid w:val="005853C0"/>
    <w:rsid w:val="00585C17"/>
    <w:rsid w:val="0058668C"/>
    <w:rsid w:val="00587100"/>
    <w:rsid w:val="005902A0"/>
    <w:rsid w:val="005923E1"/>
    <w:rsid w:val="0059502B"/>
    <w:rsid w:val="0059598C"/>
    <w:rsid w:val="005970E2"/>
    <w:rsid w:val="00597374"/>
    <w:rsid w:val="005A0237"/>
    <w:rsid w:val="005A11DE"/>
    <w:rsid w:val="005A1C35"/>
    <w:rsid w:val="005A2549"/>
    <w:rsid w:val="005A264C"/>
    <w:rsid w:val="005A2C52"/>
    <w:rsid w:val="005A2DF7"/>
    <w:rsid w:val="005A355D"/>
    <w:rsid w:val="005A4559"/>
    <w:rsid w:val="005A4F19"/>
    <w:rsid w:val="005A5478"/>
    <w:rsid w:val="005A6E32"/>
    <w:rsid w:val="005A726C"/>
    <w:rsid w:val="005B087F"/>
    <w:rsid w:val="005B0975"/>
    <w:rsid w:val="005B1F0B"/>
    <w:rsid w:val="005B425A"/>
    <w:rsid w:val="005B5769"/>
    <w:rsid w:val="005B6169"/>
    <w:rsid w:val="005B65A8"/>
    <w:rsid w:val="005B6E7E"/>
    <w:rsid w:val="005B7788"/>
    <w:rsid w:val="005B7BED"/>
    <w:rsid w:val="005C4121"/>
    <w:rsid w:val="005C42E2"/>
    <w:rsid w:val="005C587E"/>
    <w:rsid w:val="005C5C94"/>
    <w:rsid w:val="005D0677"/>
    <w:rsid w:val="005D089C"/>
    <w:rsid w:val="005D426B"/>
    <w:rsid w:val="005D5849"/>
    <w:rsid w:val="005E01C4"/>
    <w:rsid w:val="005E0323"/>
    <w:rsid w:val="005E0963"/>
    <w:rsid w:val="005E115E"/>
    <w:rsid w:val="005E2113"/>
    <w:rsid w:val="005E2285"/>
    <w:rsid w:val="005E25D1"/>
    <w:rsid w:val="005E2AB1"/>
    <w:rsid w:val="005E3F8C"/>
    <w:rsid w:val="005E4420"/>
    <w:rsid w:val="005E54E1"/>
    <w:rsid w:val="005E5D06"/>
    <w:rsid w:val="005E5D9B"/>
    <w:rsid w:val="005E6888"/>
    <w:rsid w:val="005E791A"/>
    <w:rsid w:val="005F199E"/>
    <w:rsid w:val="005F1A7C"/>
    <w:rsid w:val="005F1DC3"/>
    <w:rsid w:val="005F2D06"/>
    <w:rsid w:val="005F339B"/>
    <w:rsid w:val="005F3864"/>
    <w:rsid w:val="005F42FB"/>
    <w:rsid w:val="005F45CB"/>
    <w:rsid w:val="005F49DF"/>
    <w:rsid w:val="005F4E20"/>
    <w:rsid w:val="005F7295"/>
    <w:rsid w:val="005F76E5"/>
    <w:rsid w:val="00603F0B"/>
    <w:rsid w:val="00605465"/>
    <w:rsid w:val="00605B8D"/>
    <w:rsid w:val="006060AE"/>
    <w:rsid w:val="006072A5"/>
    <w:rsid w:val="00607B3B"/>
    <w:rsid w:val="00610F6D"/>
    <w:rsid w:val="006115EC"/>
    <w:rsid w:val="0061173D"/>
    <w:rsid w:val="00611C90"/>
    <w:rsid w:val="0061214C"/>
    <w:rsid w:val="00612359"/>
    <w:rsid w:val="006125C5"/>
    <w:rsid w:val="00612F68"/>
    <w:rsid w:val="00613399"/>
    <w:rsid w:val="0061402E"/>
    <w:rsid w:val="006146A9"/>
    <w:rsid w:val="00614E3A"/>
    <w:rsid w:val="006151ED"/>
    <w:rsid w:val="006157C5"/>
    <w:rsid w:val="00617E6E"/>
    <w:rsid w:val="006203D8"/>
    <w:rsid w:val="00621FD4"/>
    <w:rsid w:val="00625932"/>
    <w:rsid w:val="006259FF"/>
    <w:rsid w:val="00627B3D"/>
    <w:rsid w:val="00631429"/>
    <w:rsid w:val="0063293C"/>
    <w:rsid w:val="00635008"/>
    <w:rsid w:val="0063561F"/>
    <w:rsid w:val="0063653C"/>
    <w:rsid w:val="00636663"/>
    <w:rsid w:val="00636BB5"/>
    <w:rsid w:val="006372D6"/>
    <w:rsid w:val="0063747D"/>
    <w:rsid w:val="00640ECF"/>
    <w:rsid w:val="00641652"/>
    <w:rsid w:val="00641F11"/>
    <w:rsid w:val="006429E7"/>
    <w:rsid w:val="006432BD"/>
    <w:rsid w:val="006434F5"/>
    <w:rsid w:val="00643A8D"/>
    <w:rsid w:val="0064567C"/>
    <w:rsid w:val="00645DF4"/>
    <w:rsid w:val="006463A0"/>
    <w:rsid w:val="00647CE7"/>
    <w:rsid w:val="006500E5"/>
    <w:rsid w:val="00650CB8"/>
    <w:rsid w:val="00652122"/>
    <w:rsid w:val="006522CE"/>
    <w:rsid w:val="00652C38"/>
    <w:rsid w:val="00652E41"/>
    <w:rsid w:val="00653ABD"/>
    <w:rsid w:val="00653BC6"/>
    <w:rsid w:val="0065417B"/>
    <w:rsid w:val="00654597"/>
    <w:rsid w:val="0065518F"/>
    <w:rsid w:val="0065570D"/>
    <w:rsid w:val="00657AEC"/>
    <w:rsid w:val="00661251"/>
    <w:rsid w:val="00663519"/>
    <w:rsid w:val="0066353D"/>
    <w:rsid w:val="00663759"/>
    <w:rsid w:val="00663F0E"/>
    <w:rsid w:val="0066418D"/>
    <w:rsid w:val="00664537"/>
    <w:rsid w:val="00666307"/>
    <w:rsid w:val="0066669E"/>
    <w:rsid w:val="006666A2"/>
    <w:rsid w:val="00667D37"/>
    <w:rsid w:val="00667F33"/>
    <w:rsid w:val="00670290"/>
    <w:rsid w:val="006710A5"/>
    <w:rsid w:val="0067297F"/>
    <w:rsid w:val="006751A0"/>
    <w:rsid w:val="006766F7"/>
    <w:rsid w:val="00676978"/>
    <w:rsid w:val="00677D36"/>
    <w:rsid w:val="00682624"/>
    <w:rsid w:val="006845FA"/>
    <w:rsid w:val="00684F76"/>
    <w:rsid w:val="006851C9"/>
    <w:rsid w:val="00687292"/>
    <w:rsid w:val="00687623"/>
    <w:rsid w:val="00687E7F"/>
    <w:rsid w:val="0069155A"/>
    <w:rsid w:val="00691940"/>
    <w:rsid w:val="0069229F"/>
    <w:rsid w:val="0069293F"/>
    <w:rsid w:val="006929DA"/>
    <w:rsid w:val="00692A6C"/>
    <w:rsid w:val="00693DA0"/>
    <w:rsid w:val="006948A7"/>
    <w:rsid w:val="00696190"/>
    <w:rsid w:val="00697441"/>
    <w:rsid w:val="006975D2"/>
    <w:rsid w:val="006A1085"/>
    <w:rsid w:val="006A1204"/>
    <w:rsid w:val="006A1A8A"/>
    <w:rsid w:val="006A35C5"/>
    <w:rsid w:val="006A4B52"/>
    <w:rsid w:val="006A6EC2"/>
    <w:rsid w:val="006B27BB"/>
    <w:rsid w:val="006B4396"/>
    <w:rsid w:val="006B5D4B"/>
    <w:rsid w:val="006B6266"/>
    <w:rsid w:val="006B63F8"/>
    <w:rsid w:val="006C14AC"/>
    <w:rsid w:val="006C478A"/>
    <w:rsid w:val="006C4811"/>
    <w:rsid w:val="006C54C3"/>
    <w:rsid w:val="006C569C"/>
    <w:rsid w:val="006C62C8"/>
    <w:rsid w:val="006C6423"/>
    <w:rsid w:val="006C6BDA"/>
    <w:rsid w:val="006C6EFA"/>
    <w:rsid w:val="006D1282"/>
    <w:rsid w:val="006D1765"/>
    <w:rsid w:val="006D18A0"/>
    <w:rsid w:val="006D31B2"/>
    <w:rsid w:val="006D3E27"/>
    <w:rsid w:val="006D5A49"/>
    <w:rsid w:val="006D7A4A"/>
    <w:rsid w:val="006E2496"/>
    <w:rsid w:val="006E362B"/>
    <w:rsid w:val="006E442F"/>
    <w:rsid w:val="006E4AE5"/>
    <w:rsid w:val="006E4EE3"/>
    <w:rsid w:val="006E6299"/>
    <w:rsid w:val="006E7960"/>
    <w:rsid w:val="006F0340"/>
    <w:rsid w:val="006F2227"/>
    <w:rsid w:val="006F50E6"/>
    <w:rsid w:val="006F5F7D"/>
    <w:rsid w:val="0070101D"/>
    <w:rsid w:val="00701BB7"/>
    <w:rsid w:val="007021B1"/>
    <w:rsid w:val="00702550"/>
    <w:rsid w:val="00702DAE"/>
    <w:rsid w:val="00703783"/>
    <w:rsid w:val="0070379B"/>
    <w:rsid w:val="00704908"/>
    <w:rsid w:val="00704AAB"/>
    <w:rsid w:val="007076F7"/>
    <w:rsid w:val="00711EB4"/>
    <w:rsid w:val="00712171"/>
    <w:rsid w:val="007122FA"/>
    <w:rsid w:val="0071272A"/>
    <w:rsid w:val="0071482B"/>
    <w:rsid w:val="00714ADB"/>
    <w:rsid w:val="00716420"/>
    <w:rsid w:val="00717465"/>
    <w:rsid w:val="00717C2B"/>
    <w:rsid w:val="007204B6"/>
    <w:rsid w:val="00720D5B"/>
    <w:rsid w:val="007217A5"/>
    <w:rsid w:val="00722800"/>
    <w:rsid w:val="00722F76"/>
    <w:rsid w:val="00726162"/>
    <w:rsid w:val="00726ACA"/>
    <w:rsid w:val="007272CD"/>
    <w:rsid w:val="0072748A"/>
    <w:rsid w:val="00727E4F"/>
    <w:rsid w:val="007304CC"/>
    <w:rsid w:val="00730A26"/>
    <w:rsid w:val="0073265A"/>
    <w:rsid w:val="0073427B"/>
    <w:rsid w:val="00736689"/>
    <w:rsid w:val="00737680"/>
    <w:rsid w:val="00740440"/>
    <w:rsid w:val="0074076F"/>
    <w:rsid w:val="00741070"/>
    <w:rsid w:val="007426C0"/>
    <w:rsid w:val="0074449D"/>
    <w:rsid w:val="00746935"/>
    <w:rsid w:val="00746FDD"/>
    <w:rsid w:val="007479A4"/>
    <w:rsid w:val="00747D6D"/>
    <w:rsid w:val="0075030C"/>
    <w:rsid w:val="00753864"/>
    <w:rsid w:val="007549A3"/>
    <w:rsid w:val="00757383"/>
    <w:rsid w:val="00757F4F"/>
    <w:rsid w:val="007605B7"/>
    <w:rsid w:val="00761425"/>
    <w:rsid w:val="00762CE7"/>
    <w:rsid w:val="00763099"/>
    <w:rsid w:val="00765638"/>
    <w:rsid w:val="00766E1C"/>
    <w:rsid w:val="00771C5A"/>
    <w:rsid w:val="00771D8E"/>
    <w:rsid w:val="0077270D"/>
    <w:rsid w:val="007748BA"/>
    <w:rsid w:val="00775B33"/>
    <w:rsid w:val="00775B64"/>
    <w:rsid w:val="00776455"/>
    <w:rsid w:val="00776C6D"/>
    <w:rsid w:val="007770A5"/>
    <w:rsid w:val="00777446"/>
    <w:rsid w:val="007775C4"/>
    <w:rsid w:val="00781361"/>
    <w:rsid w:val="00781D9C"/>
    <w:rsid w:val="00782439"/>
    <w:rsid w:val="007828DA"/>
    <w:rsid w:val="007829D1"/>
    <w:rsid w:val="00783400"/>
    <w:rsid w:val="00783412"/>
    <w:rsid w:val="00785845"/>
    <w:rsid w:val="00785A7A"/>
    <w:rsid w:val="007865D2"/>
    <w:rsid w:val="00786EBC"/>
    <w:rsid w:val="00787027"/>
    <w:rsid w:val="00790DF3"/>
    <w:rsid w:val="007914B7"/>
    <w:rsid w:val="00791DA9"/>
    <w:rsid w:val="007922A9"/>
    <w:rsid w:val="00792F04"/>
    <w:rsid w:val="00793788"/>
    <w:rsid w:val="00793B4C"/>
    <w:rsid w:val="007947DC"/>
    <w:rsid w:val="0079721A"/>
    <w:rsid w:val="00797F62"/>
    <w:rsid w:val="007A0CBA"/>
    <w:rsid w:val="007A21EA"/>
    <w:rsid w:val="007A2A8F"/>
    <w:rsid w:val="007A32E9"/>
    <w:rsid w:val="007A352F"/>
    <w:rsid w:val="007A3BF0"/>
    <w:rsid w:val="007A7737"/>
    <w:rsid w:val="007B05CC"/>
    <w:rsid w:val="007B1674"/>
    <w:rsid w:val="007B25F3"/>
    <w:rsid w:val="007B2CEA"/>
    <w:rsid w:val="007B2E46"/>
    <w:rsid w:val="007B59C9"/>
    <w:rsid w:val="007B7EA3"/>
    <w:rsid w:val="007C0456"/>
    <w:rsid w:val="007C1516"/>
    <w:rsid w:val="007C33F9"/>
    <w:rsid w:val="007C4B24"/>
    <w:rsid w:val="007C4E71"/>
    <w:rsid w:val="007C4F45"/>
    <w:rsid w:val="007C51D8"/>
    <w:rsid w:val="007C56B1"/>
    <w:rsid w:val="007C5AE3"/>
    <w:rsid w:val="007C78EE"/>
    <w:rsid w:val="007D1776"/>
    <w:rsid w:val="007D1E00"/>
    <w:rsid w:val="007D26BE"/>
    <w:rsid w:val="007D52CA"/>
    <w:rsid w:val="007D7523"/>
    <w:rsid w:val="007E0C02"/>
    <w:rsid w:val="007E1176"/>
    <w:rsid w:val="007E1F55"/>
    <w:rsid w:val="007E2AF8"/>
    <w:rsid w:val="007E39F7"/>
    <w:rsid w:val="007E4A6E"/>
    <w:rsid w:val="007E612E"/>
    <w:rsid w:val="007E68C1"/>
    <w:rsid w:val="007E7E99"/>
    <w:rsid w:val="007F0380"/>
    <w:rsid w:val="007F130D"/>
    <w:rsid w:val="007F19D0"/>
    <w:rsid w:val="007F1F05"/>
    <w:rsid w:val="007F24D0"/>
    <w:rsid w:val="007F2681"/>
    <w:rsid w:val="007F2E24"/>
    <w:rsid w:val="007F2FF7"/>
    <w:rsid w:val="007F3272"/>
    <w:rsid w:val="007F3518"/>
    <w:rsid w:val="007F3D0E"/>
    <w:rsid w:val="007F45D1"/>
    <w:rsid w:val="007F5015"/>
    <w:rsid w:val="007F6A35"/>
    <w:rsid w:val="007F6B7D"/>
    <w:rsid w:val="00801D97"/>
    <w:rsid w:val="00802910"/>
    <w:rsid w:val="00802C54"/>
    <w:rsid w:val="008042B0"/>
    <w:rsid w:val="008054E0"/>
    <w:rsid w:val="0080608C"/>
    <w:rsid w:val="008067CD"/>
    <w:rsid w:val="00806925"/>
    <w:rsid w:val="0080788F"/>
    <w:rsid w:val="008101E1"/>
    <w:rsid w:val="00810902"/>
    <w:rsid w:val="00812410"/>
    <w:rsid w:val="00813A76"/>
    <w:rsid w:val="008146C6"/>
    <w:rsid w:val="00814B77"/>
    <w:rsid w:val="00815A60"/>
    <w:rsid w:val="008169ED"/>
    <w:rsid w:val="0081703A"/>
    <w:rsid w:val="0081799C"/>
    <w:rsid w:val="00820C06"/>
    <w:rsid w:val="00820F81"/>
    <w:rsid w:val="00821377"/>
    <w:rsid w:val="0082165A"/>
    <w:rsid w:val="008222CC"/>
    <w:rsid w:val="00823031"/>
    <w:rsid w:val="00824543"/>
    <w:rsid w:val="00824F27"/>
    <w:rsid w:val="008251D0"/>
    <w:rsid w:val="00831B5F"/>
    <w:rsid w:val="00831C16"/>
    <w:rsid w:val="0083224F"/>
    <w:rsid w:val="00832D93"/>
    <w:rsid w:val="00833C12"/>
    <w:rsid w:val="00834247"/>
    <w:rsid w:val="00835637"/>
    <w:rsid w:val="0083603A"/>
    <w:rsid w:val="008369A6"/>
    <w:rsid w:val="008369B8"/>
    <w:rsid w:val="00836C91"/>
    <w:rsid w:val="008430BD"/>
    <w:rsid w:val="008443BC"/>
    <w:rsid w:val="0084467B"/>
    <w:rsid w:val="008452B2"/>
    <w:rsid w:val="00845CC8"/>
    <w:rsid w:val="00845E4D"/>
    <w:rsid w:val="00845E7A"/>
    <w:rsid w:val="00846727"/>
    <w:rsid w:val="008474D3"/>
    <w:rsid w:val="008476BC"/>
    <w:rsid w:val="00850C1F"/>
    <w:rsid w:val="0085138B"/>
    <w:rsid w:val="00851FFF"/>
    <w:rsid w:val="00857185"/>
    <w:rsid w:val="008572A6"/>
    <w:rsid w:val="00860251"/>
    <w:rsid w:val="00861AAB"/>
    <w:rsid w:val="00862975"/>
    <w:rsid w:val="00863B1A"/>
    <w:rsid w:val="0086428D"/>
    <w:rsid w:val="0086501B"/>
    <w:rsid w:val="008655DE"/>
    <w:rsid w:val="00866C68"/>
    <w:rsid w:val="008670C1"/>
    <w:rsid w:val="00872A41"/>
    <w:rsid w:val="008747D6"/>
    <w:rsid w:val="00875221"/>
    <w:rsid w:val="008767F5"/>
    <w:rsid w:val="00877AEB"/>
    <w:rsid w:val="008800AF"/>
    <w:rsid w:val="008814E1"/>
    <w:rsid w:val="0088279B"/>
    <w:rsid w:val="00882DB2"/>
    <w:rsid w:val="00883625"/>
    <w:rsid w:val="008848DD"/>
    <w:rsid w:val="008849CE"/>
    <w:rsid w:val="00887564"/>
    <w:rsid w:val="008879D7"/>
    <w:rsid w:val="00887BB0"/>
    <w:rsid w:val="008901A6"/>
    <w:rsid w:val="008928DF"/>
    <w:rsid w:val="008935BD"/>
    <w:rsid w:val="00893EC9"/>
    <w:rsid w:val="0089546F"/>
    <w:rsid w:val="00895E91"/>
    <w:rsid w:val="00896067"/>
    <w:rsid w:val="00896BD5"/>
    <w:rsid w:val="00897468"/>
    <w:rsid w:val="00897515"/>
    <w:rsid w:val="00897E00"/>
    <w:rsid w:val="008A0220"/>
    <w:rsid w:val="008A0949"/>
    <w:rsid w:val="008A15D3"/>
    <w:rsid w:val="008A1835"/>
    <w:rsid w:val="008A198F"/>
    <w:rsid w:val="008A1C5D"/>
    <w:rsid w:val="008A291F"/>
    <w:rsid w:val="008A3E0B"/>
    <w:rsid w:val="008A43CF"/>
    <w:rsid w:val="008A489F"/>
    <w:rsid w:val="008B080A"/>
    <w:rsid w:val="008B0D49"/>
    <w:rsid w:val="008B4AD5"/>
    <w:rsid w:val="008B6916"/>
    <w:rsid w:val="008B6CC4"/>
    <w:rsid w:val="008C0955"/>
    <w:rsid w:val="008C3336"/>
    <w:rsid w:val="008C3483"/>
    <w:rsid w:val="008C388E"/>
    <w:rsid w:val="008C415C"/>
    <w:rsid w:val="008C7113"/>
    <w:rsid w:val="008C7777"/>
    <w:rsid w:val="008D10AE"/>
    <w:rsid w:val="008D2CCE"/>
    <w:rsid w:val="008D529B"/>
    <w:rsid w:val="008D62C8"/>
    <w:rsid w:val="008D6ADE"/>
    <w:rsid w:val="008E0497"/>
    <w:rsid w:val="008E1242"/>
    <w:rsid w:val="008E277D"/>
    <w:rsid w:val="008E2AA9"/>
    <w:rsid w:val="008E2DD0"/>
    <w:rsid w:val="008E3101"/>
    <w:rsid w:val="008E3C6D"/>
    <w:rsid w:val="008E4756"/>
    <w:rsid w:val="008E5313"/>
    <w:rsid w:val="008E5CEF"/>
    <w:rsid w:val="008E7BEA"/>
    <w:rsid w:val="008E7F59"/>
    <w:rsid w:val="008F13AA"/>
    <w:rsid w:val="008F2F87"/>
    <w:rsid w:val="008F419B"/>
    <w:rsid w:val="008F4CCA"/>
    <w:rsid w:val="008F562D"/>
    <w:rsid w:val="008F5FB0"/>
    <w:rsid w:val="008F69FC"/>
    <w:rsid w:val="008F6E20"/>
    <w:rsid w:val="008F7123"/>
    <w:rsid w:val="008F720C"/>
    <w:rsid w:val="008F7375"/>
    <w:rsid w:val="00900469"/>
    <w:rsid w:val="0090055D"/>
    <w:rsid w:val="00900702"/>
    <w:rsid w:val="0090098C"/>
    <w:rsid w:val="009020AD"/>
    <w:rsid w:val="00902C73"/>
    <w:rsid w:val="00903E2D"/>
    <w:rsid w:val="00905923"/>
    <w:rsid w:val="00905E6C"/>
    <w:rsid w:val="00906336"/>
    <w:rsid w:val="00906AB7"/>
    <w:rsid w:val="00907BAE"/>
    <w:rsid w:val="00910AAC"/>
    <w:rsid w:val="00911D1A"/>
    <w:rsid w:val="00914CB0"/>
    <w:rsid w:val="009171F0"/>
    <w:rsid w:val="00921352"/>
    <w:rsid w:val="00921B8A"/>
    <w:rsid w:val="00925D76"/>
    <w:rsid w:val="00926021"/>
    <w:rsid w:val="00926138"/>
    <w:rsid w:val="00926AF4"/>
    <w:rsid w:val="00927F56"/>
    <w:rsid w:val="00932CF9"/>
    <w:rsid w:val="00933E1F"/>
    <w:rsid w:val="00935497"/>
    <w:rsid w:val="00935E9C"/>
    <w:rsid w:val="0093622C"/>
    <w:rsid w:val="00936D60"/>
    <w:rsid w:val="00940015"/>
    <w:rsid w:val="00940638"/>
    <w:rsid w:val="009418A1"/>
    <w:rsid w:val="00942B26"/>
    <w:rsid w:val="00943A65"/>
    <w:rsid w:val="00944565"/>
    <w:rsid w:val="00944B37"/>
    <w:rsid w:val="00944BA7"/>
    <w:rsid w:val="00945193"/>
    <w:rsid w:val="00946E7B"/>
    <w:rsid w:val="00947D91"/>
    <w:rsid w:val="00950752"/>
    <w:rsid w:val="00950824"/>
    <w:rsid w:val="009516FE"/>
    <w:rsid w:val="00954269"/>
    <w:rsid w:val="009558BE"/>
    <w:rsid w:val="009611C6"/>
    <w:rsid w:val="00963F14"/>
    <w:rsid w:val="009641BC"/>
    <w:rsid w:val="0096453D"/>
    <w:rsid w:val="00965176"/>
    <w:rsid w:val="00967198"/>
    <w:rsid w:val="0097162F"/>
    <w:rsid w:val="00971E7F"/>
    <w:rsid w:val="00971FBC"/>
    <w:rsid w:val="009723B4"/>
    <w:rsid w:val="00972C2A"/>
    <w:rsid w:val="009738F0"/>
    <w:rsid w:val="00973FE6"/>
    <w:rsid w:val="00974253"/>
    <w:rsid w:val="009743B1"/>
    <w:rsid w:val="00976E8F"/>
    <w:rsid w:val="009771D0"/>
    <w:rsid w:val="0097721D"/>
    <w:rsid w:val="00977A42"/>
    <w:rsid w:val="0098041A"/>
    <w:rsid w:val="0098080E"/>
    <w:rsid w:val="00982E18"/>
    <w:rsid w:val="009857C5"/>
    <w:rsid w:val="00985B10"/>
    <w:rsid w:val="0099149F"/>
    <w:rsid w:val="00991962"/>
    <w:rsid w:val="00992E3A"/>
    <w:rsid w:val="009932FA"/>
    <w:rsid w:val="00993A24"/>
    <w:rsid w:val="00993BB5"/>
    <w:rsid w:val="00993C8B"/>
    <w:rsid w:val="00994846"/>
    <w:rsid w:val="0099546A"/>
    <w:rsid w:val="009956FD"/>
    <w:rsid w:val="009964D8"/>
    <w:rsid w:val="009A0793"/>
    <w:rsid w:val="009A153A"/>
    <w:rsid w:val="009A3CB5"/>
    <w:rsid w:val="009A3DDA"/>
    <w:rsid w:val="009A4942"/>
    <w:rsid w:val="009A55E7"/>
    <w:rsid w:val="009A7796"/>
    <w:rsid w:val="009B102F"/>
    <w:rsid w:val="009B4059"/>
    <w:rsid w:val="009B413C"/>
    <w:rsid w:val="009B58AF"/>
    <w:rsid w:val="009B607F"/>
    <w:rsid w:val="009B6D3D"/>
    <w:rsid w:val="009B70F9"/>
    <w:rsid w:val="009C017B"/>
    <w:rsid w:val="009C22CA"/>
    <w:rsid w:val="009C4797"/>
    <w:rsid w:val="009C4CBA"/>
    <w:rsid w:val="009C51CA"/>
    <w:rsid w:val="009C5944"/>
    <w:rsid w:val="009C6CC9"/>
    <w:rsid w:val="009C6E35"/>
    <w:rsid w:val="009C71EB"/>
    <w:rsid w:val="009D0835"/>
    <w:rsid w:val="009D1302"/>
    <w:rsid w:val="009D1C23"/>
    <w:rsid w:val="009D221B"/>
    <w:rsid w:val="009D420C"/>
    <w:rsid w:val="009D532B"/>
    <w:rsid w:val="009D5BD5"/>
    <w:rsid w:val="009E14BC"/>
    <w:rsid w:val="009E1A31"/>
    <w:rsid w:val="009E3A31"/>
    <w:rsid w:val="009E3BAE"/>
    <w:rsid w:val="009E4BAD"/>
    <w:rsid w:val="009E5DA5"/>
    <w:rsid w:val="009E665F"/>
    <w:rsid w:val="009E6691"/>
    <w:rsid w:val="009E6879"/>
    <w:rsid w:val="009E6DCF"/>
    <w:rsid w:val="009E70ED"/>
    <w:rsid w:val="009E7BBD"/>
    <w:rsid w:val="009F0379"/>
    <w:rsid w:val="009F2725"/>
    <w:rsid w:val="009F27D8"/>
    <w:rsid w:val="009F44CC"/>
    <w:rsid w:val="009F4512"/>
    <w:rsid w:val="009F4C9F"/>
    <w:rsid w:val="009F56EF"/>
    <w:rsid w:val="009F58A1"/>
    <w:rsid w:val="009F62E5"/>
    <w:rsid w:val="009F65D2"/>
    <w:rsid w:val="009F6602"/>
    <w:rsid w:val="009F7DB8"/>
    <w:rsid w:val="00A020A1"/>
    <w:rsid w:val="00A0404C"/>
    <w:rsid w:val="00A047E3"/>
    <w:rsid w:val="00A04D1E"/>
    <w:rsid w:val="00A05BC0"/>
    <w:rsid w:val="00A073BB"/>
    <w:rsid w:val="00A07A54"/>
    <w:rsid w:val="00A107FE"/>
    <w:rsid w:val="00A10A9A"/>
    <w:rsid w:val="00A111BA"/>
    <w:rsid w:val="00A11CBC"/>
    <w:rsid w:val="00A12B7E"/>
    <w:rsid w:val="00A12C24"/>
    <w:rsid w:val="00A13CCB"/>
    <w:rsid w:val="00A14A91"/>
    <w:rsid w:val="00A15BD4"/>
    <w:rsid w:val="00A178FD"/>
    <w:rsid w:val="00A207CD"/>
    <w:rsid w:val="00A2266B"/>
    <w:rsid w:val="00A25D64"/>
    <w:rsid w:val="00A25D6F"/>
    <w:rsid w:val="00A26306"/>
    <w:rsid w:val="00A26943"/>
    <w:rsid w:val="00A305D6"/>
    <w:rsid w:val="00A316CD"/>
    <w:rsid w:val="00A31DA9"/>
    <w:rsid w:val="00A3226D"/>
    <w:rsid w:val="00A323F1"/>
    <w:rsid w:val="00A3299B"/>
    <w:rsid w:val="00A32E09"/>
    <w:rsid w:val="00A33417"/>
    <w:rsid w:val="00A3397E"/>
    <w:rsid w:val="00A3400F"/>
    <w:rsid w:val="00A349B8"/>
    <w:rsid w:val="00A34BD9"/>
    <w:rsid w:val="00A3737A"/>
    <w:rsid w:val="00A37F85"/>
    <w:rsid w:val="00A4140C"/>
    <w:rsid w:val="00A4170E"/>
    <w:rsid w:val="00A42B86"/>
    <w:rsid w:val="00A44B18"/>
    <w:rsid w:val="00A44E93"/>
    <w:rsid w:val="00A46A4B"/>
    <w:rsid w:val="00A51F2E"/>
    <w:rsid w:val="00A52139"/>
    <w:rsid w:val="00A52E84"/>
    <w:rsid w:val="00A547BC"/>
    <w:rsid w:val="00A552D7"/>
    <w:rsid w:val="00A55DBB"/>
    <w:rsid w:val="00A55F2E"/>
    <w:rsid w:val="00A6034C"/>
    <w:rsid w:val="00A606A0"/>
    <w:rsid w:val="00A60C24"/>
    <w:rsid w:val="00A61057"/>
    <w:rsid w:val="00A611BF"/>
    <w:rsid w:val="00A6150A"/>
    <w:rsid w:val="00A621F0"/>
    <w:rsid w:val="00A625AA"/>
    <w:rsid w:val="00A6373C"/>
    <w:rsid w:val="00A646AF"/>
    <w:rsid w:val="00A64B95"/>
    <w:rsid w:val="00A651B0"/>
    <w:rsid w:val="00A658BA"/>
    <w:rsid w:val="00A659B6"/>
    <w:rsid w:val="00A65E00"/>
    <w:rsid w:val="00A66069"/>
    <w:rsid w:val="00A66D40"/>
    <w:rsid w:val="00A66F2B"/>
    <w:rsid w:val="00A66FDE"/>
    <w:rsid w:val="00A7073B"/>
    <w:rsid w:val="00A72727"/>
    <w:rsid w:val="00A72757"/>
    <w:rsid w:val="00A74959"/>
    <w:rsid w:val="00A7502E"/>
    <w:rsid w:val="00A778C3"/>
    <w:rsid w:val="00A809EB"/>
    <w:rsid w:val="00A81B0D"/>
    <w:rsid w:val="00A82209"/>
    <w:rsid w:val="00A82693"/>
    <w:rsid w:val="00A84177"/>
    <w:rsid w:val="00A87992"/>
    <w:rsid w:val="00A90456"/>
    <w:rsid w:val="00A908A9"/>
    <w:rsid w:val="00A9285E"/>
    <w:rsid w:val="00A94080"/>
    <w:rsid w:val="00A94889"/>
    <w:rsid w:val="00A94A6E"/>
    <w:rsid w:val="00A97F7A"/>
    <w:rsid w:val="00AA0263"/>
    <w:rsid w:val="00AA06BE"/>
    <w:rsid w:val="00AA0C62"/>
    <w:rsid w:val="00AA17BF"/>
    <w:rsid w:val="00AA23C5"/>
    <w:rsid w:val="00AA29B8"/>
    <w:rsid w:val="00AA2E7B"/>
    <w:rsid w:val="00AA5397"/>
    <w:rsid w:val="00AA688C"/>
    <w:rsid w:val="00AB0AA4"/>
    <w:rsid w:val="00AB0CA6"/>
    <w:rsid w:val="00AB0E77"/>
    <w:rsid w:val="00AB0F76"/>
    <w:rsid w:val="00AB1D77"/>
    <w:rsid w:val="00AB49C3"/>
    <w:rsid w:val="00AB52AC"/>
    <w:rsid w:val="00AB5626"/>
    <w:rsid w:val="00AB649E"/>
    <w:rsid w:val="00AB7040"/>
    <w:rsid w:val="00AB759A"/>
    <w:rsid w:val="00AB7D8F"/>
    <w:rsid w:val="00AC0EEC"/>
    <w:rsid w:val="00AC16FF"/>
    <w:rsid w:val="00AC2567"/>
    <w:rsid w:val="00AC2933"/>
    <w:rsid w:val="00AC2B64"/>
    <w:rsid w:val="00AC4E2E"/>
    <w:rsid w:val="00AC745E"/>
    <w:rsid w:val="00AC75D4"/>
    <w:rsid w:val="00AD072F"/>
    <w:rsid w:val="00AD081B"/>
    <w:rsid w:val="00AD1D71"/>
    <w:rsid w:val="00AD2672"/>
    <w:rsid w:val="00AD30D4"/>
    <w:rsid w:val="00AD4FFC"/>
    <w:rsid w:val="00AD57B4"/>
    <w:rsid w:val="00AE068A"/>
    <w:rsid w:val="00AE15A1"/>
    <w:rsid w:val="00AE16E6"/>
    <w:rsid w:val="00AE282D"/>
    <w:rsid w:val="00AE4A0E"/>
    <w:rsid w:val="00AE53B2"/>
    <w:rsid w:val="00AE5F21"/>
    <w:rsid w:val="00AE60DB"/>
    <w:rsid w:val="00AE663E"/>
    <w:rsid w:val="00AE6D9C"/>
    <w:rsid w:val="00AE712B"/>
    <w:rsid w:val="00AE72D1"/>
    <w:rsid w:val="00AE783E"/>
    <w:rsid w:val="00AE78E0"/>
    <w:rsid w:val="00AE7FAA"/>
    <w:rsid w:val="00AF087F"/>
    <w:rsid w:val="00AF35C9"/>
    <w:rsid w:val="00AF4E87"/>
    <w:rsid w:val="00AF5132"/>
    <w:rsid w:val="00AF5611"/>
    <w:rsid w:val="00AF75CA"/>
    <w:rsid w:val="00AF78D5"/>
    <w:rsid w:val="00B00E99"/>
    <w:rsid w:val="00B0223F"/>
    <w:rsid w:val="00B03885"/>
    <w:rsid w:val="00B03CF5"/>
    <w:rsid w:val="00B05847"/>
    <w:rsid w:val="00B071B0"/>
    <w:rsid w:val="00B12132"/>
    <w:rsid w:val="00B12635"/>
    <w:rsid w:val="00B1305A"/>
    <w:rsid w:val="00B13990"/>
    <w:rsid w:val="00B15761"/>
    <w:rsid w:val="00B15F1E"/>
    <w:rsid w:val="00B1769F"/>
    <w:rsid w:val="00B17845"/>
    <w:rsid w:val="00B21A4A"/>
    <w:rsid w:val="00B21C02"/>
    <w:rsid w:val="00B21CE6"/>
    <w:rsid w:val="00B22A2C"/>
    <w:rsid w:val="00B234CD"/>
    <w:rsid w:val="00B23F60"/>
    <w:rsid w:val="00B23FE2"/>
    <w:rsid w:val="00B24764"/>
    <w:rsid w:val="00B259C7"/>
    <w:rsid w:val="00B2745A"/>
    <w:rsid w:val="00B3115C"/>
    <w:rsid w:val="00B31391"/>
    <w:rsid w:val="00B31B92"/>
    <w:rsid w:val="00B32D70"/>
    <w:rsid w:val="00B3360A"/>
    <w:rsid w:val="00B34A88"/>
    <w:rsid w:val="00B363AB"/>
    <w:rsid w:val="00B3642A"/>
    <w:rsid w:val="00B36CED"/>
    <w:rsid w:val="00B405B3"/>
    <w:rsid w:val="00B4137A"/>
    <w:rsid w:val="00B41F2C"/>
    <w:rsid w:val="00B4253C"/>
    <w:rsid w:val="00B433F2"/>
    <w:rsid w:val="00B43702"/>
    <w:rsid w:val="00B44204"/>
    <w:rsid w:val="00B44FB5"/>
    <w:rsid w:val="00B4543A"/>
    <w:rsid w:val="00B454CF"/>
    <w:rsid w:val="00B46406"/>
    <w:rsid w:val="00B47A4B"/>
    <w:rsid w:val="00B50A3B"/>
    <w:rsid w:val="00B50E5A"/>
    <w:rsid w:val="00B52B5F"/>
    <w:rsid w:val="00B54A96"/>
    <w:rsid w:val="00B54E80"/>
    <w:rsid w:val="00B55123"/>
    <w:rsid w:val="00B5569C"/>
    <w:rsid w:val="00B55968"/>
    <w:rsid w:val="00B57BF5"/>
    <w:rsid w:val="00B57E39"/>
    <w:rsid w:val="00B619B6"/>
    <w:rsid w:val="00B61F41"/>
    <w:rsid w:val="00B622F9"/>
    <w:rsid w:val="00B63384"/>
    <w:rsid w:val="00B66B4A"/>
    <w:rsid w:val="00B67C38"/>
    <w:rsid w:val="00B704BC"/>
    <w:rsid w:val="00B71486"/>
    <w:rsid w:val="00B71D16"/>
    <w:rsid w:val="00B72102"/>
    <w:rsid w:val="00B76010"/>
    <w:rsid w:val="00B771C5"/>
    <w:rsid w:val="00B82C5D"/>
    <w:rsid w:val="00B83072"/>
    <w:rsid w:val="00B8341F"/>
    <w:rsid w:val="00B8361D"/>
    <w:rsid w:val="00B845DE"/>
    <w:rsid w:val="00B8464B"/>
    <w:rsid w:val="00B846BB"/>
    <w:rsid w:val="00B8491E"/>
    <w:rsid w:val="00B85D54"/>
    <w:rsid w:val="00B85ED8"/>
    <w:rsid w:val="00B86084"/>
    <w:rsid w:val="00B8638C"/>
    <w:rsid w:val="00B91193"/>
    <w:rsid w:val="00B918C0"/>
    <w:rsid w:val="00B91E3C"/>
    <w:rsid w:val="00B934FB"/>
    <w:rsid w:val="00B94DEF"/>
    <w:rsid w:val="00B9549A"/>
    <w:rsid w:val="00B96A5F"/>
    <w:rsid w:val="00BA0A56"/>
    <w:rsid w:val="00BA1ADC"/>
    <w:rsid w:val="00BA263C"/>
    <w:rsid w:val="00BA2E70"/>
    <w:rsid w:val="00BA48E0"/>
    <w:rsid w:val="00BA4EFE"/>
    <w:rsid w:val="00BA54F9"/>
    <w:rsid w:val="00BA552F"/>
    <w:rsid w:val="00BA5C6E"/>
    <w:rsid w:val="00BA6F5E"/>
    <w:rsid w:val="00BB001D"/>
    <w:rsid w:val="00BB0504"/>
    <w:rsid w:val="00BB2B12"/>
    <w:rsid w:val="00BB3701"/>
    <w:rsid w:val="00BB38B7"/>
    <w:rsid w:val="00BB3F1D"/>
    <w:rsid w:val="00BB47B6"/>
    <w:rsid w:val="00BB5DFD"/>
    <w:rsid w:val="00BB6490"/>
    <w:rsid w:val="00BB7401"/>
    <w:rsid w:val="00BB77AF"/>
    <w:rsid w:val="00BC034F"/>
    <w:rsid w:val="00BC2572"/>
    <w:rsid w:val="00BC310C"/>
    <w:rsid w:val="00BC327F"/>
    <w:rsid w:val="00BC35A4"/>
    <w:rsid w:val="00BC3E2D"/>
    <w:rsid w:val="00BC3FBC"/>
    <w:rsid w:val="00BC4F30"/>
    <w:rsid w:val="00BC6BA0"/>
    <w:rsid w:val="00BC7320"/>
    <w:rsid w:val="00BC749B"/>
    <w:rsid w:val="00BD092D"/>
    <w:rsid w:val="00BD1603"/>
    <w:rsid w:val="00BD2CBA"/>
    <w:rsid w:val="00BD3B60"/>
    <w:rsid w:val="00BD3D22"/>
    <w:rsid w:val="00BD5BEA"/>
    <w:rsid w:val="00BD7689"/>
    <w:rsid w:val="00BD7F82"/>
    <w:rsid w:val="00BE12BE"/>
    <w:rsid w:val="00BE28AB"/>
    <w:rsid w:val="00BE29E4"/>
    <w:rsid w:val="00BE2D68"/>
    <w:rsid w:val="00BE3064"/>
    <w:rsid w:val="00BE35BC"/>
    <w:rsid w:val="00BE5EA2"/>
    <w:rsid w:val="00BE6542"/>
    <w:rsid w:val="00BE6AAB"/>
    <w:rsid w:val="00BE7798"/>
    <w:rsid w:val="00BF08B1"/>
    <w:rsid w:val="00BF0D72"/>
    <w:rsid w:val="00BF2BEB"/>
    <w:rsid w:val="00BF3220"/>
    <w:rsid w:val="00BF38B7"/>
    <w:rsid w:val="00BF502C"/>
    <w:rsid w:val="00BF5790"/>
    <w:rsid w:val="00BF6A85"/>
    <w:rsid w:val="00BF7FA4"/>
    <w:rsid w:val="00C02414"/>
    <w:rsid w:val="00C04123"/>
    <w:rsid w:val="00C04192"/>
    <w:rsid w:val="00C0638F"/>
    <w:rsid w:val="00C068BD"/>
    <w:rsid w:val="00C11FA4"/>
    <w:rsid w:val="00C12795"/>
    <w:rsid w:val="00C203FA"/>
    <w:rsid w:val="00C2123C"/>
    <w:rsid w:val="00C21615"/>
    <w:rsid w:val="00C22568"/>
    <w:rsid w:val="00C25098"/>
    <w:rsid w:val="00C25C26"/>
    <w:rsid w:val="00C26BEE"/>
    <w:rsid w:val="00C273F3"/>
    <w:rsid w:val="00C275BA"/>
    <w:rsid w:val="00C27B20"/>
    <w:rsid w:val="00C314C6"/>
    <w:rsid w:val="00C31A73"/>
    <w:rsid w:val="00C33245"/>
    <w:rsid w:val="00C33738"/>
    <w:rsid w:val="00C338AE"/>
    <w:rsid w:val="00C34FB2"/>
    <w:rsid w:val="00C40265"/>
    <w:rsid w:val="00C40BE4"/>
    <w:rsid w:val="00C42115"/>
    <w:rsid w:val="00C43B21"/>
    <w:rsid w:val="00C4556A"/>
    <w:rsid w:val="00C45842"/>
    <w:rsid w:val="00C46463"/>
    <w:rsid w:val="00C4746C"/>
    <w:rsid w:val="00C501CF"/>
    <w:rsid w:val="00C51415"/>
    <w:rsid w:val="00C523B7"/>
    <w:rsid w:val="00C52A4C"/>
    <w:rsid w:val="00C540F7"/>
    <w:rsid w:val="00C5422F"/>
    <w:rsid w:val="00C54398"/>
    <w:rsid w:val="00C54958"/>
    <w:rsid w:val="00C549E0"/>
    <w:rsid w:val="00C56006"/>
    <w:rsid w:val="00C57947"/>
    <w:rsid w:val="00C618E1"/>
    <w:rsid w:val="00C6194B"/>
    <w:rsid w:val="00C64042"/>
    <w:rsid w:val="00C64071"/>
    <w:rsid w:val="00C65389"/>
    <w:rsid w:val="00C65F2C"/>
    <w:rsid w:val="00C66901"/>
    <w:rsid w:val="00C671D6"/>
    <w:rsid w:val="00C67752"/>
    <w:rsid w:val="00C67B4B"/>
    <w:rsid w:val="00C70276"/>
    <w:rsid w:val="00C71FB7"/>
    <w:rsid w:val="00C732DA"/>
    <w:rsid w:val="00C74B5F"/>
    <w:rsid w:val="00C77254"/>
    <w:rsid w:val="00C7729B"/>
    <w:rsid w:val="00C77F9C"/>
    <w:rsid w:val="00C809A8"/>
    <w:rsid w:val="00C80FA5"/>
    <w:rsid w:val="00C8160D"/>
    <w:rsid w:val="00C84196"/>
    <w:rsid w:val="00C84609"/>
    <w:rsid w:val="00C84748"/>
    <w:rsid w:val="00C84A20"/>
    <w:rsid w:val="00C851C7"/>
    <w:rsid w:val="00C90199"/>
    <w:rsid w:val="00C9037A"/>
    <w:rsid w:val="00C90526"/>
    <w:rsid w:val="00C90A75"/>
    <w:rsid w:val="00C90EED"/>
    <w:rsid w:val="00C90F66"/>
    <w:rsid w:val="00C91A0D"/>
    <w:rsid w:val="00C92469"/>
    <w:rsid w:val="00C93A99"/>
    <w:rsid w:val="00C94156"/>
    <w:rsid w:val="00C96AA2"/>
    <w:rsid w:val="00C9771F"/>
    <w:rsid w:val="00CA00F2"/>
    <w:rsid w:val="00CA119F"/>
    <w:rsid w:val="00CA1EB5"/>
    <w:rsid w:val="00CA21D1"/>
    <w:rsid w:val="00CA27CE"/>
    <w:rsid w:val="00CA527D"/>
    <w:rsid w:val="00CA5708"/>
    <w:rsid w:val="00CA5E7A"/>
    <w:rsid w:val="00CA72C4"/>
    <w:rsid w:val="00CA740C"/>
    <w:rsid w:val="00CA7528"/>
    <w:rsid w:val="00CB07D0"/>
    <w:rsid w:val="00CB0D49"/>
    <w:rsid w:val="00CB2873"/>
    <w:rsid w:val="00CB3A0F"/>
    <w:rsid w:val="00CB43D3"/>
    <w:rsid w:val="00CB4762"/>
    <w:rsid w:val="00CB5ED4"/>
    <w:rsid w:val="00CB60A4"/>
    <w:rsid w:val="00CB7FD7"/>
    <w:rsid w:val="00CC110B"/>
    <w:rsid w:val="00CC2B46"/>
    <w:rsid w:val="00CC2DC9"/>
    <w:rsid w:val="00CC3160"/>
    <w:rsid w:val="00CC434F"/>
    <w:rsid w:val="00CC551D"/>
    <w:rsid w:val="00CC5E76"/>
    <w:rsid w:val="00CC6637"/>
    <w:rsid w:val="00CC6D01"/>
    <w:rsid w:val="00CD3333"/>
    <w:rsid w:val="00CD5890"/>
    <w:rsid w:val="00CD5972"/>
    <w:rsid w:val="00CD6B3D"/>
    <w:rsid w:val="00CD6BD5"/>
    <w:rsid w:val="00CD761D"/>
    <w:rsid w:val="00CD78CF"/>
    <w:rsid w:val="00CE00C7"/>
    <w:rsid w:val="00CE0D15"/>
    <w:rsid w:val="00CE116E"/>
    <w:rsid w:val="00CE135E"/>
    <w:rsid w:val="00CE3B94"/>
    <w:rsid w:val="00CE46F7"/>
    <w:rsid w:val="00CE76BF"/>
    <w:rsid w:val="00CE7AA0"/>
    <w:rsid w:val="00CF0A84"/>
    <w:rsid w:val="00CF141D"/>
    <w:rsid w:val="00CF2162"/>
    <w:rsid w:val="00CF4549"/>
    <w:rsid w:val="00CF4B3A"/>
    <w:rsid w:val="00CF6233"/>
    <w:rsid w:val="00D009D1"/>
    <w:rsid w:val="00D010F9"/>
    <w:rsid w:val="00D013B2"/>
    <w:rsid w:val="00D01C8D"/>
    <w:rsid w:val="00D030ED"/>
    <w:rsid w:val="00D03B58"/>
    <w:rsid w:val="00D03D20"/>
    <w:rsid w:val="00D049E4"/>
    <w:rsid w:val="00D05072"/>
    <w:rsid w:val="00D05DFA"/>
    <w:rsid w:val="00D06B1E"/>
    <w:rsid w:val="00D06D42"/>
    <w:rsid w:val="00D06F2F"/>
    <w:rsid w:val="00D07570"/>
    <w:rsid w:val="00D1080A"/>
    <w:rsid w:val="00D11C8C"/>
    <w:rsid w:val="00D1212C"/>
    <w:rsid w:val="00D1328E"/>
    <w:rsid w:val="00D132E1"/>
    <w:rsid w:val="00D132F8"/>
    <w:rsid w:val="00D1422E"/>
    <w:rsid w:val="00D1618D"/>
    <w:rsid w:val="00D202AD"/>
    <w:rsid w:val="00D2067A"/>
    <w:rsid w:val="00D21685"/>
    <w:rsid w:val="00D22329"/>
    <w:rsid w:val="00D245C1"/>
    <w:rsid w:val="00D24A14"/>
    <w:rsid w:val="00D25120"/>
    <w:rsid w:val="00D25170"/>
    <w:rsid w:val="00D25B3E"/>
    <w:rsid w:val="00D26B1C"/>
    <w:rsid w:val="00D2730E"/>
    <w:rsid w:val="00D302CE"/>
    <w:rsid w:val="00D30F09"/>
    <w:rsid w:val="00D349C0"/>
    <w:rsid w:val="00D34DC4"/>
    <w:rsid w:val="00D36BE5"/>
    <w:rsid w:val="00D36F33"/>
    <w:rsid w:val="00D371D0"/>
    <w:rsid w:val="00D405B4"/>
    <w:rsid w:val="00D4065C"/>
    <w:rsid w:val="00D41689"/>
    <w:rsid w:val="00D4233B"/>
    <w:rsid w:val="00D42817"/>
    <w:rsid w:val="00D42DCB"/>
    <w:rsid w:val="00D42E99"/>
    <w:rsid w:val="00D432ED"/>
    <w:rsid w:val="00D441B9"/>
    <w:rsid w:val="00D44826"/>
    <w:rsid w:val="00D44FC0"/>
    <w:rsid w:val="00D460DF"/>
    <w:rsid w:val="00D46224"/>
    <w:rsid w:val="00D47330"/>
    <w:rsid w:val="00D47FA0"/>
    <w:rsid w:val="00D507FD"/>
    <w:rsid w:val="00D51359"/>
    <w:rsid w:val="00D52142"/>
    <w:rsid w:val="00D5302B"/>
    <w:rsid w:val="00D539F2"/>
    <w:rsid w:val="00D53C9A"/>
    <w:rsid w:val="00D55254"/>
    <w:rsid w:val="00D57F32"/>
    <w:rsid w:val="00D57FA2"/>
    <w:rsid w:val="00D6148E"/>
    <w:rsid w:val="00D614A8"/>
    <w:rsid w:val="00D61A29"/>
    <w:rsid w:val="00D620EB"/>
    <w:rsid w:val="00D62EB2"/>
    <w:rsid w:val="00D63322"/>
    <w:rsid w:val="00D63329"/>
    <w:rsid w:val="00D6433B"/>
    <w:rsid w:val="00D658E5"/>
    <w:rsid w:val="00D66283"/>
    <w:rsid w:val="00D662F2"/>
    <w:rsid w:val="00D6638B"/>
    <w:rsid w:val="00D668C1"/>
    <w:rsid w:val="00D66D5B"/>
    <w:rsid w:val="00D67253"/>
    <w:rsid w:val="00D702B6"/>
    <w:rsid w:val="00D70DCF"/>
    <w:rsid w:val="00D71015"/>
    <w:rsid w:val="00D72735"/>
    <w:rsid w:val="00D72EFB"/>
    <w:rsid w:val="00D7342F"/>
    <w:rsid w:val="00D73699"/>
    <w:rsid w:val="00D73B82"/>
    <w:rsid w:val="00D74AE1"/>
    <w:rsid w:val="00D76C9F"/>
    <w:rsid w:val="00D77427"/>
    <w:rsid w:val="00D774EC"/>
    <w:rsid w:val="00D80321"/>
    <w:rsid w:val="00D81126"/>
    <w:rsid w:val="00D81986"/>
    <w:rsid w:val="00D83BD5"/>
    <w:rsid w:val="00D84088"/>
    <w:rsid w:val="00D84A47"/>
    <w:rsid w:val="00D851F0"/>
    <w:rsid w:val="00D85B4E"/>
    <w:rsid w:val="00D87CE9"/>
    <w:rsid w:val="00D904DC"/>
    <w:rsid w:val="00D92062"/>
    <w:rsid w:val="00D9349C"/>
    <w:rsid w:val="00D938A2"/>
    <w:rsid w:val="00D95048"/>
    <w:rsid w:val="00D951D8"/>
    <w:rsid w:val="00D963C4"/>
    <w:rsid w:val="00D97BF0"/>
    <w:rsid w:val="00DA0F6E"/>
    <w:rsid w:val="00DA1B8F"/>
    <w:rsid w:val="00DA1E36"/>
    <w:rsid w:val="00DA24B4"/>
    <w:rsid w:val="00DA29FA"/>
    <w:rsid w:val="00DA310F"/>
    <w:rsid w:val="00DA4024"/>
    <w:rsid w:val="00DA48D2"/>
    <w:rsid w:val="00DA53DE"/>
    <w:rsid w:val="00DA6B35"/>
    <w:rsid w:val="00DA6B58"/>
    <w:rsid w:val="00DA76F9"/>
    <w:rsid w:val="00DA7C5D"/>
    <w:rsid w:val="00DA7F75"/>
    <w:rsid w:val="00DB0DD6"/>
    <w:rsid w:val="00DB2504"/>
    <w:rsid w:val="00DB33B8"/>
    <w:rsid w:val="00DB3C07"/>
    <w:rsid w:val="00DB3F1C"/>
    <w:rsid w:val="00DB576B"/>
    <w:rsid w:val="00DB6F39"/>
    <w:rsid w:val="00DB73DE"/>
    <w:rsid w:val="00DB7914"/>
    <w:rsid w:val="00DC024E"/>
    <w:rsid w:val="00DC2040"/>
    <w:rsid w:val="00DC2F1F"/>
    <w:rsid w:val="00DC3513"/>
    <w:rsid w:val="00DC4659"/>
    <w:rsid w:val="00DC6816"/>
    <w:rsid w:val="00DC734E"/>
    <w:rsid w:val="00DD0B0A"/>
    <w:rsid w:val="00DD1BE0"/>
    <w:rsid w:val="00DD2874"/>
    <w:rsid w:val="00DD488C"/>
    <w:rsid w:val="00DD50DF"/>
    <w:rsid w:val="00DD5367"/>
    <w:rsid w:val="00DD7A14"/>
    <w:rsid w:val="00DE0F3F"/>
    <w:rsid w:val="00DE2196"/>
    <w:rsid w:val="00DE253A"/>
    <w:rsid w:val="00DE301F"/>
    <w:rsid w:val="00DE376C"/>
    <w:rsid w:val="00DE3CFB"/>
    <w:rsid w:val="00DE4C74"/>
    <w:rsid w:val="00DE64A1"/>
    <w:rsid w:val="00DE6989"/>
    <w:rsid w:val="00DE6EAE"/>
    <w:rsid w:val="00DE7658"/>
    <w:rsid w:val="00DF2C13"/>
    <w:rsid w:val="00DF3C29"/>
    <w:rsid w:val="00DF3F27"/>
    <w:rsid w:val="00DF56D8"/>
    <w:rsid w:val="00DF592C"/>
    <w:rsid w:val="00DF6028"/>
    <w:rsid w:val="00DF60A9"/>
    <w:rsid w:val="00DF6F1E"/>
    <w:rsid w:val="00DF76C2"/>
    <w:rsid w:val="00E013B8"/>
    <w:rsid w:val="00E01703"/>
    <w:rsid w:val="00E01DBE"/>
    <w:rsid w:val="00E01E29"/>
    <w:rsid w:val="00E03DEB"/>
    <w:rsid w:val="00E04C03"/>
    <w:rsid w:val="00E05A80"/>
    <w:rsid w:val="00E102C1"/>
    <w:rsid w:val="00E107BC"/>
    <w:rsid w:val="00E111C1"/>
    <w:rsid w:val="00E120E6"/>
    <w:rsid w:val="00E12509"/>
    <w:rsid w:val="00E128A0"/>
    <w:rsid w:val="00E130BC"/>
    <w:rsid w:val="00E138D0"/>
    <w:rsid w:val="00E146A3"/>
    <w:rsid w:val="00E15A65"/>
    <w:rsid w:val="00E15CC3"/>
    <w:rsid w:val="00E166C7"/>
    <w:rsid w:val="00E166FC"/>
    <w:rsid w:val="00E17E75"/>
    <w:rsid w:val="00E20828"/>
    <w:rsid w:val="00E2161F"/>
    <w:rsid w:val="00E219EF"/>
    <w:rsid w:val="00E22DBC"/>
    <w:rsid w:val="00E2368A"/>
    <w:rsid w:val="00E23706"/>
    <w:rsid w:val="00E23A06"/>
    <w:rsid w:val="00E24356"/>
    <w:rsid w:val="00E244B1"/>
    <w:rsid w:val="00E2497F"/>
    <w:rsid w:val="00E2543A"/>
    <w:rsid w:val="00E255B2"/>
    <w:rsid w:val="00E25A41"/>
    <w:rsid w:val="00E268BA"/>
    <w:rsid w:val="00E26BC7"/>
    <w:rsid w:val="00E272CE"/>
    <w:rsid w:val="00E27863"/>
    <w:rsid w:val="00E306DC"/>
    <w:rsid w:val="00E3108C"/>
    <w:rsid w:val="00E3187D"/>
    <w:rsid w:val="00E322A9"/>
    <w:rsid w:val="00E3322C"/>
    <w:rsid w:val="00E33E49"/>
    <w:rsid w:val="00E3439A"/>
    <w:rsid w:val="00E34822"/>
    <w:rsid w:val="00E357B8"/>
    <w:rsid w:val="00E35CBE"/>
    <w:rsid w:val="00E37A21"/>
    <w:rsid w:val="00E37C90"/>
    <w:rsid w:val="00E4288F"/>
    <w:rsid w:val="00E436FF"/>
    <w:rsid w:val="00E4479C"/>
    <w:rsid w:val="00E451BC"/>
    <w:rsid w:val="00E45526"/>
    <w:rsid w:val="00E45BBB"/>
    <w:rsid w:val="00E46920"/>
    <w:rsid w:val="00E47135"/>
    <w:rsid w:val="00E47A77"/>
    <w:rsid w:val="00E47E1F"/>
    <w:rsid w:val="00E51195"/>
    <w:rsid w:val="00E53FE4"/>
    <w:rsid w:val="00E5407F"/>
    <w:rsid w:val="00E54B9E"/>
    <w:rsid w:val="00E54CC6"/>
    <w:rsid w:val="00E5537C"/>
    <w:rsid w:val="00E56BFB"/>
    <w:rsid w:val="00E5731E"/>
    <w:rsid w:val="00E61E59"/>
    <w:rsid w:val="00E6287A"/>
    <w:rsid w:val="00E644F9"/>
    <w:rsid w:val="00E6454C"/>
    <w:rsid w:val="00E64901"/>
    <w:rsid w:val="00E65CD1"/>
    <w:rsid w:val="00E65E56"/>
    <w:rsid w:val="00E666D8"/>
    <w:rsid w:val="00E7065D"/>
    <w:rsid w:val="00E71C25"/>
    <w:rsid w:val="00E72104"/>
    <w:rsid w:val="00E72768"/>
    <w:rsid w:val="00E736A9"/>
    <w:rsid w:val="00E7433B"/>
    <w:rsid w:val="00E74750"/>
    <w:rsid w:val="00E74B80"/>
    <w:rsid w:val="00E75AB8"/>
    <w:rsid w:val="00E75B2A"/>
    <w:rsid w:val="00E7661F"/>
    <w:rsid w:val="00E776A0"/>
    <w:rsid w:val="00E776C7"/>
    <w:rsid w:val="00E779B3"/>
    <w:rsid w:val="00E800D3"/>
    <w:rsid w:val="00E807DF"/>
    <w:rsid w:val="00E81DA3"/>
    <w:rsid w:val="00E823A8"/>
    <w:rsid w:val="00E8253E"/>
    <w:rsid w:val="00E87F8A"/>
    <w:rsid w:val="00E91158"/>
    <w:rsid w:val="00E91DFE"/>
    <w:rsid w:val="00E949BA"/>
    <w:rsid w:val="00E9693E"/>
    <w:rsid w:val="00E978D5"/>
    <w:rsid w:val="00EA08C3"/>
    <w:rsid w:val="00EA1686"/>
    <w:rsid w:val="00EA65AA"/>
    <w:rsid w:val="00EB5B8B"/>
    <w:rsid w:val="00EB6C75"/>
    <w:rsid w:val="00EB77C9"/>
    <w:rsid w:val="00EC0989"/>
    <w:rsid w:val="00EC0A45"/>
    <w:rsid w:val="00EC0EA3"/>
    <w:rsid w:val="00EC1644"/>
    <w:rsid w:val="00EC33F6"/>
    <w:rsid w:val="00EC36A3"/>
    <w:rsid w:val="00EC6B2E"/>
    <w:rsid w:val="00EC777F"/>
    <w:rsid w:val="00ED05C1"/>
    <w:rsid w:val="00ED2DB6"/>
    <w:rsid w:val="00ED2E1C"/>
    <w:rsid w:val="00ED4AAD"/>
    <w:rsid w:val="00ED4E2E"/>
    <w:rsid w:val="00ED68B1"/>
    <w:rsid w:val="00ED6C46"/>
    <w:rsid w:val="00ED6D83"/>
    <w:rsid w:val="00ED777F"/>
    <w:rsid w:val="00ED79E9"/>
    <w:rsid w:val="00EE0D2B"/>
    <w:rsid w:val="00EE30A0"/>
    <w:rsid w:val="00EE36A2"/>
    <w:rsid w:val="00EE7383"/>
    <w:rsid w:val="00EF11C4"/>
    <w:rsid w:val="00EF18EE"/>
    <w:rsid w:val="00EF1E3B"/>
    <w:rsid w:val="00EF4566"/>
    <w:rsid w:val="00EF4992"/>
    <w:rsid w:val="00EF4BAE"/>
    <w:rsid w:val="00EF4BE6"/>
    <w:rsid w:val="00EF5998"/>
    <w:rsid w:val="00EF5DFB"/>
    <w:rsid w:val="00EF5E8A"/>
    <w:rsid w:val="00EF6A92"/>
    <w:rsid w:val="00EF6B20"/>
    <w:rsid w:val="00EF6BC0"/>
    <w:rsid w:val="00EF766F"/>
    <w:rsid w:val="00F00A56"/>
    <w:rsid w:val="00F0191D"/>
    <w:rsid w:val="00F027C3"/>
    <w:rsid w:val="00F02BD2"/>
    <w:rsid w:val="00F02ED7"/>
    <w:rsid w:val="00F037D2"/>
    <w:rsid w:val="00F03A86"/>
    <w:rsid w:val="00F047B7"/>
    <w:rsid w:val="00F049EC"/>
    <w:rsid w:val="00F10C7C"/>
    <w:rsid w:val="00F14728"/>
    <w:rsid w:val="00F14BB2"/>
    <w:rsid w:val="00F17470"/>
    <w:rsid w:val="00F20D17"/>
    <w:rsid w:val="00F22580"/>
    <w:rsid w:val="00F22F7B"/>
    <w:rsid w:val="00F232B2"/>
    <w:rsid w:val="00F23D23"/>
    <w:rsid w:val="00F2486C"/>
    <w:rsid w:val="00F252C2"/>
    <w:rsid w:val="00F25E73"/>
    <w:rsid w:val="00F26480"/>
    <w:rsid w:val="00F26581"/>
    <w:rsid w:val="00F271A5"/>
    <w:rsid w:val="00F30122"/>
    <w:rsid w:val="00F307E9"/>
    <w:rsid w:val="00F3217C"/>
    <w:rsid w:val="00F326B5"/>
    <w:rsid w:val="00F3360E"/>
    <w:rsid w:val="00F33BDD"/>
    <w:rsid w:val="00F37D96"/>
    <w:rsid w:val="00F40757"/>
    <w:rsid w:val="00F40C74"/>
    <w:rsid w:val="00F4138F"/>
    <w:rsid w:val="00F41724"/>
    <w:rsid w:val="00F418CE"/>
    <w:rsid w:val="00F419E8"/>
    <w:rsid w:val="00F4202B"/>
    <w:rsid w:val="00F429B9"/>
    <w:rsid w:val="00F43843"/>
    <w:rsid w:val="00F44C0A"/>
    <w:rsid w:val="00F46BB7"/>
    <w:rsid w:val="00F5036F"/>
    <w:rsid w:val="00F512C2"/>
    <w:rsid w:val="00F51F44"/>
    <w:rsid w:val="00F51FD9"/>
    <w:rsid w:val="00F537A1"/>
    <w:rsid w:val="00F54FA8"/>
    <w:rsid w:val="00F5748E"/>
    <w:rsid w:val="00F579D6"/>
    <w:rsid w:val="00F57A86"/>
    <w:rsid w:val="00F600A4"/>
    <w:rsid w:val="00F6277E"/>
    <w:rsid w:val="00F627D8"/>
    <w:rsid w:val="00F630A8"/>
    <w:rsid w:val="00F632BC"/>
    <w:rsid w:val="00F6333D"/>
    <w:rsid w:val="00F63F4E"/>
    <w:rsid w:val="00F64475"/>
    <w:rsid w:val="00F6630A"/>
    <w:rsid w:val="00F67BC0"/>
    <w:rsid w:val="00F70AFC"/>
    <w:rsid w:val="00F71348"/>
    <w:rsid w:val="00F72115"/>
    <w:rsid w:val="00F7396F"/>
    <w:rsid w:val="00F73FD5"/>
    <w:rsid w:val="00F755EA"/>
    <w:rsid w:val="00F82122"/>
    <w:rsid w:val="00F837A1"/>
    <w:rsid w:val="00F84E26"/>
    <w:rsid w:val="00F8527B"/>
    <w:rsid w:val="00F85DE9"/>
    <w:rsid w:val="00F86F3F"/>
    <w:rsid w:val="00F87C6A"/>
    <w:rsid w:val="00F90330"/>
    <w:rsid w:val="00F90332"/>
    <w:rsid w:val="00F90690"/>
    <w:rsid w:val="00F917FE"/>
    <w:rsid w:val="00F91A27"/>
    <w:rsid w:val="00F92E66"/>
    <w:rsid w:val="00F933E7"/>
    <w:rsid w:val="00F94A65"/>
    <w:rsid w:val="00F956A0"/>
    <w:rsid w:val="00F96E0A"/>
    <w:rsid w:val="00F9799A"/>
    <w:rsid w:val="00F97C8A"/>
    <w:rsid w:val="00FA07E7"/>
    <w:rsid w:val="00FA0802"/>
    <w:rsid w:val="00FA1C80"/>
    <w:rsid w:val="00FA1CFF"/>
    <w:rsid w:val="00FA1D38"/>
    <w:rsid w:val="00FA3794"/>
    <w:rsid w:val="00FA5374"/>
    <w:rsid w:val="00FA5585"/>
    <w:rsid w:val="00FA5D9C"/>
    <w:rsid w:val="00FB03B3"/>
    <w:rsid w:val="00FB2CE0"/>
    <w:rsid w:val="00FB47E1"/>
    <w:rsid w:val="00FB4EFF"/>
    <w:rsid w:val="00FB5691"/>
    <w:rsid w:val="00FB6CC8"/>
    <w:rsid w:val="00FB7275"/>
    <w:rsid w:val="00FC3A00"/>
    <w:rsid w:val="00FC55EE"/>
    <w:rsid w:val="00FC604A"/>
    <w:rsid w:val="00FC6F57"/>
    <w:rsid w:val="00FD064D"/>
    <w:rsid w:val="00FD2205"/>
    <w:rsid w:val="00FD2B15"/>
    <w:rsid w:val="00FD4D51"/>
    <w:rsid w:val="00FD53B4"/>
    <w:rsid w:val="00FD5E8A"/>
    <w:rsid w:val="00FD67C5"/>
    <w:rsid w:val="00FD7259"/>
    <w:rsid w:val="00FD78DA"/>
    <w:rsid w:val="00FE2BA5"/>
    <w:rsid w:val="00FE6C76"/>
    <w:rsid w:val="00FF1318"/>
    <w:rsid w:val="00FF139B"/>
    <w:rsid w:val="00FF24BB"/>
    <w:rsid w:val="00FF26F3"/>
    <w:rsid w:val="00FF2999"/>
    <w:rsid w:val="00FF2DFB"/>
    <w:rsid w:val="00FF47C2"/>
    <w:rsid w:val="00FF5E3A"/>
    <w:rsid w:val="00FF5F15"/>
    <w:rsid w:val="00FF69B4"/>
    <w:rsid w:val="00FF75CA"/>
    <w:rsid w:val="00FF7B32"/>
    <w:rsid w:val="026F27D1"/>
    <w:rsid w:val="046442CB"/>
    <w:rsid w:val="058A31DA"/>
    <w:rsid w:val="05AB6139"/>
    <w:rsid w:val="0A7A7CFA"/>
    <w:rsid w:val="0AE80C25"/>
    <w:rsid w:val="0EC31BD4"/>
    <w:rsid w:val="0F692383"/>
    <w:rsid w:val="10986C70"/>
    <w:rsid w:val="11862133"/>
    <w:rsid w:val="118B1A8C"/>
    <w:rsid w:val="149466C9"/>
    <w:rsid w:val="1672548C"/>
    <w:rsid w:val="183E0B71"/>
    <w:rsid w:val="19377828"/>
    <w:rsid w:val="1BC0687F"/>
    <w:rsid w:val="1C6E7A1D"/>
    <w:rsid w:val="1D2C79AE"/>
    <w:rsid w:val="1F132900"/>
    <w:rsid w:val="1F216C59"/>
    <w:rsid w:val="20EC2E00"/>
    <w:rsid w:val="22331351"/>
    <w:rsid w:val="23D70B7F"/>
    <w:rsid w:val="26466629"/>
    <w:rsid w:val="2936088E"/>
    <w:rsid w:val="2A1F7B08"/>
    <w:rsid w:val="2A5A70CF"/>
    <w:rsid w:val="2D8324FD"/>
    <w:rsid w:val="2DCC7F35"/>
    <w:rsid w:val="303D515B"/>
    <w:rsid w:val="30672426"/>
    <w:rsid w:val="332649B9"/>
    <w:rsid w:val="35547930"/>
    <w:rsid w:val="35C006DF"/>
    <w:rsid w:val="38E209DA"/>
    <w:rsid w:val="3B772537"/>
    <w:rsid w:val="3BBE16BE"/>
    <w:rsid w:val="42700244"/>
    <w:rsid w:val="459A3714"/>
    <w:rsid w:val="45FB56EF"/>
    <w:rsid w:val="462948B1"/>
    <w:rsid w:val="46DC5689"/>
    <w:rsid w:val="4726423D"/>
    <w:rsid w:val="47BF2F24"/>
    <w:rsid w:val="49951B25"/>
    <w:rsid w:val="4A51408E"/>
    <w:rsid w:val="4A650CF0"/>
    <w:rsid w:val="4E312F94"/>
    <w:rsid w:val="4FAB016E"/>
    <w:rsid w:val="50144456"/>
    <w:rsid w:val="50632B67"/>
    <w:rsid w:val="51614CEF"/>
    <w:rsid w:val="527D03B4"/>
    <w:rsid w:val="52824A68"/>
    <w:rsid w:val="543503C1"/>
    <w:rsid w:val="566479B7"/>
    <w:rsid w:val="58641F7F"/>
    <w:rsid w:val="59794DC4"/>
    <w:rsid w:val="5A5060D7"/>
    <w:rsid w:val="5B821CAF"/>
    <w:rsid w:val="5E764C14"/>
    <w:rsid w:val="5EF17427"/>
    <w:rsid w:val="61656D04"/>
    <w:rsid w:val="67A8188A"/>
    <w:rsid w:val="67F820A3"/>
    <w:rsid w:val="6D343C99"/>
    <w:rsid w:val="705D79A3"/>
    <w:rsid w:val="71E828D9"/>
    <w:rsid w:val="72283FC9"/>
    <w:rsid w:val="72C75950"/>
    <w:rsid w:val="7300049D"/>
    <w:rsid w:val="73827B3A"/>
    <w:rsid w:val="76943C7D"/>
    <w:rsid w:val="77223AB4"/>
    <w:rsid w:val="779E504E"/>
    <w:rsid w:val="7806607C"/>
    <w:rsid w:val="7AF16FD4"/>
    <w:rsid w:val="7BC63DFB"/>
    <w:rsid w:val="7CF2481B"/>
    <w:rsid w:val="7DDB5BCC"/>
    <w:rsid w:val="7FC0543D"/>
    <w:rsid w:val="7FEC26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 dashstyle="1 1" endcap="round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semiHidden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jc w:val="center"/>
      <w:outlineLvl w:val="2"/>
    </w:pPr>
    <w:rPr>
      <w:b/>
      <w:bCs/>
      <w:sz w:val="28"/>
    </w:rPr>
  </w:style>
  <w:style w:type="paragraph" w:styleId="6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Document Map"/>
    <w:basedOn w:val="1"/>
    <w:qFormat/>
    <w:uiPriority w:val="0"/>
    <w:pPr>
      <w:shd w:val="clear" w:color="auto" w:fill="000080"/>
    </w:pPr>
  </w:style>
  <w:style w:type="paragraph" w:styleId="8">
    <w:name w:val="annotation text"/>
    <w:basedOn w:val="1"/>
    <w:link w:val="66"/>
    <w:qFormat/>
    <w:uiPriority w:val="0"/>
    <w:pPr>
      <w:jc w:val="left"/>
    </w:pPr>
    <w:rPr>
      <w:szCs w:val="20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link w:val="68"/>
    <w:qFormat/>
    <w:uiPriority w:val="0"/>
    <w:rPr>
      <w:rFonts w:ascii="宋体" w:hAnsi="Courier New"/>
      <w:szCs w:val="20"/>
    </w:rPr>
  </w:style>
  <w:style w:type="paragraph" w:styleId="11">
    <w:name w:val="Date"/>
    <w:basedOn w:val="1"/>
    <w:next w:val="1"/>
    <w:qFormat/>
    <w:uiPriority w:val="0"/>
    <w:pPr>
      <w:ind w:left="100" w:leftChars="2500"/>
    </w:pPr>
  </w:style>
  <w:style w:type="paragraph" w:styleId="12">
    <w:name w:val="Body Text Indent 2"/>
    <w:basedOn w:val="1"/>
    <w:qFormat/>
    <w:uiPriority w:val="0"/>
    <w:pPr>
      <w:spacing w:after="120" w:line="480" w:lineRule="auto"/>
      <w:ind w:left="420"/>
    </w:pPr>
  </w:style>
  <w:style w:type="paragraph" w:styleId="13">
    <w:name w:val="Balloon Text"/>
    <w:basedOn w:val="1"/>
    <w:link w:val="71"/>
    <w:qFormat/>
    <w:uiPriority w:val="0"/>
    <w:rPr>
      <w:sz w:val="18"/>
      <w:szCs w:val="18"/>
    </w:rPr>
  </w:style>
  <w:style w:type="paragraph" w:styleId="14">
    <w:name w:val="footer"/>
    <w:basedOn w:val="1"/>
    <w:link w:val="6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5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link w:val="63"/>
    <w:qFormat/>
    <w:uiPriority w:val="39"/>
  </w:style>
  <w:style w:type="paragraph" w:styleId="17">
    <w:name w:val="toc 2"/>
    <w:basedOn w:val="1"/>
    <w:next w:val="1"/>
    <w:link w:val="60"/>
    <w:qFormat/>
    <w:uiPriority w:val="0"/>
    <w:pPr>
      <w:ind w:left="420" w:leftChars="200"/>
    </w:p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9">
    <w:name w:val="Title"/>
    <w:basedOn w:val="1"/>
    <w:link w:val="6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0">
    <w:name w:val="annotation subject"/>
    <w:basedOn w:val="8"/>
    <w:next w:val="8"/>
    <w:link w:val="70"/>
    <w:qFormat/>
    <w:uiPriority w:val="0"/>
    <w:rPr>
      <w:b/>
      <w:bCs/>
      <w:szCs w:val="24"/>
    </w:rPr>
  </w:style>
  <w:style w:type="table" w:styleId="22">
    <w:name w:val="Table Grid"/>
    <w:basedOn w:val="2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page number"/>
    <w:basedOn w:val="23"/>
    <w:qFormat/>
    <w:uiPriority w:val="0"/>
  </w:style>
  <w:style w:type="character" w:styleId="25">
    <w:name w:val="Emphasis"/>
    <w:basedOn w:val="23"/>
    <w:qFormat/>
    <w:uiPriority w:val="0"/>
    <w:rPr>
      <w:i/>
    </w:rPr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qFormat/>
    <w:uiPriority w:val="0"/>
    <w:rPr>
      <w:sz w:val="21"/>
      <w:szCs w:val="21"/>
    </w:rPr>
  </w:style>
  <w:style w:type="paragraph" w:customStyle="1" w:styleId="28">
    <w:name w:val="一级条标题"/>
    <w:next w:val="29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29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paragraph" w:customStyle="1" w:styleId="30">
    <w:name w:val="标准文件_五级条标题"/>
    <w:basedOn w:val="31"/>
    <w:next w:val="36"/>
    <w:qFormat/>
    <w:uiPriority w:val="0"/>
    <w:pPr>
      <w:numPr>
        <w:ilvl w:val="6"/>
      </w:numPr>
      <w:outlineLvl w:val="6"/>
    </w:pPr>
  </w:style>
  <w:style w:type="paragraph" w:customStyle="1" w:styleId="31">
    <w:name w:val="标准文件_四级条标题"/>
    <w:basedOn w:val="32"/>
    <w:next w:val="36"/>
    <w:qFormat/>
    <w:uiPriority w:val="0"/>
    <w:pPr>
      <w:numPr>
        <w:ilvl w:val="5"/>
      </w:numPr>
      <w:outlineLvl w:val="5"/>
    </w:pPr>
  </w:style>
  <w:style w:type="paragraph" w:customStyle="1" w:styleId="32">
    <w:name w:val="标准文件_三级条标题"/>
    <w:basedOn w:val="33"/>
    <w:next w:val="36"/>
    <w:qFormat/>
    <w:uiPriority w:val="0"/>
    <w:pPr>
      <w:numPr>
        <w:ilvl w:val="4"/>
      </w:numPr>
      <w:ind w:left="-50"/>
      <w:outlineLvl w:val="4"/>
    </w:pPr>
  </w:style>
  <w:style w:type="paragraph" w:customStyle="1" w:styleId="33">
    <w:name w:val="标准文件_二级条标题"/>
    <w:basedOn w:val="34"/>
    <w:next w:val="36"/>
    <w:qFormat/>
    <w:uiPriority w:val="0"/>
    <w:pPr>
      <w:numPr>
        <w:ilvl w:val="3"/>
      </w:numPr>
      <w:outlineLvl w:val="3"/>
    </w:pPr>
  </w:style>
  <w:style w:type="paragraph" w:customStyle="1" w:styleId="34">
    <w:name w:val="标准文件_一级条标题"/>
    <w:basedOn w:val="35"/>
    <w:next w:val="36"/>
    <w:qFormat/>
    <w:uiPriority w:val="0"/>
    <w:pPr>
      <w:numPr>
        <w:ilvl w:val="2"/>
      </w:numPr>
      <w:outlineLvl w:val="2"/>
    </w:pPr>
  </w:style>
  <w:style w:type="paragraph" w:customStyle="1" w:styleId="35">
    <w:name w:val="标准文件_章标题"/>
    <w:next w:val="36"/>
    <w:qFormat/>
    <w:uiPriority w:val="0"/>
    <w:pPr>
      <w:numPr>
        <w:ilvl w:val="1"/>
        <w:numId w:val="2"/>
      </w:numPr>
      <w:spacing w:beforeLines="50" w:afterLines="50"/>
      <w:ind w:right="-50" w:rightChars="-50"/>
      <w:jc w:val="both"/>
      <w:outlineLvl w:val="1"/>
    </w:pPr>
    <w:rPr>
      <w:rFonts w:ascii="黑体" w:hAnsi="Times New Roman" w:eastAsia="黑体" w:cs="Times New Roman"/>
      <w:spacing w:val="2"/>
      <w:sz w:val="21"/>
      <w:lang w:val="en-US" w:eastAsia="zh-CN" w:bidi="ar-SA"/>
    </w:rPr>
  </w:style>
  <w:style w:type="paragraph" w:customStyle="1" w:styleId="36">
    <w:name w:val="标准文件_段"/>
    <w:qFormat/>
    <w:uiPriority w:val="0"/>
    <w:pPr>
      <w:widowControl w:val="0"/>
      <w:autoSpaceDE w:val="0"/>
      <w:autoSpaceDN w:val="0"/>
      <w:spacing w:line="276" w:lineRule="auto"/>
      <w:ind w:firstLine="428" w:firstLineChars="200"/>
      <w:jc w:val="center"/>
    </w:pPr>
    <w:rPr>
      <w:rFonts w:ascii="Times New Roman" w:hAnsi="Times New Roman" w:eastAsia="宋体" w:cs="Times New Roman"/>
      <w:spacing w:val="2"/>
      <w:sz w:val="21"/>
      <w:szCs w:val="21"/>
      <w:lang w:val="en-US" w:eastAsia="zh-CN" w:bidi="ar-SA"/>
    </w:rPr>
  </w:style>
  <w:style w:type="paragraph" w:customStyle="1" w:styleId="37">
    <w:name w:val="标题4"/>
    <w:basedOn w:val="1"/>
    <w:link w:val="55"/>
    <w:qFormat/>
    <w:uiPriority w:val="0"/>
    <w:pPr>
      <w:numPr>
        <w:ilvl w:val="0"/>
        <w:numId w:val="3"/>
      </w:numPr>
    </w:pPr>
    <w:rPr>
      <w:szCs w:val="20"/>
    </w:rPr>
  </w:style>
  <w:style w:type="paragraph" w:customStyle="1" w:styleId="38">
    <w:name w:val="样式1"/>
    <w:basedOn w:val="6"/>
    <w:qFormat/>
    <w:uiPriority w:val="0"/>
  </w:style>
  <w:style w:type="paragraph" w:styleId="39">
    <w:name w:val="List Paragraph"/>
    <w:basedOn w:val="1"/>
    <w:qFormat/>
    <w:uiPriority w:val="99"/>
    <w:pPr>
      <w:ind w:firstLine="420" w:firstLineChars="200"/>
    </w:pPr>
  </w:style>
  <w:style w:type="paragraph" w:customStyle="1" w:styleId="4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4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 w:bidi="ar-SA"/>
    </w:rPr>
  </w:style>
  <w:style w:type="paragraph" w:customStyle="1" w:styleId="42">
    <w:name w:val="样式 黑体 小三 居中1"/>
    <w:basedOn w:val="19"/>
    <w:qFormat/>
    <w:uiPriority w:val="0"/>
    <w:rPr>
      <w:rFonts w:ascii="黑体" w:hAnsi="黑体" w:eastAsia="黑体" w:cs="宋体"/>
      <w:sz w:val="30"/>
      <w:szCs w:val="20"/>
    </w:rPr>
  </w:style>
  <w:style w:type="paragraph" w:customStyle="1" w:styleId="43">
    <w:name w:val="样式 黑体 小三 居中"/>
    <w:basedOn w:val="19"/>
    <w:qFormat/>
    <w:uiPriority w:val="0"/>
    <w:rPr>
      <w:rFonts w:ascii="黑体" w:hAnsi="黑体" w:eastAsia="黑体" w:cs="宋体"/>
      <w:sz w:val="30"/>
      <w:szCs w:val="20"/>
    </w:rPr>
  </w:style>
  <w:style w:type="paragraph" w:customStyle="1" w:styleId="44">
    <w:name w:val="Char Char Char1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45">
    <w:name w:val="三级条标题"/>
    <w:basedOn w:val="1"/>
    <w:next w:val="1"/>
    <w:qFormat/>
    <w:uiPriority w:val="0"/>
    <w:pPr>
      <w:widowControl/>
      <w:outlineLvl w:val="4"/>
    </w:pPr>
    <w:rPr>
      <w:rFonts w:ascii="黑体" w:eastAsia="黑体"/>
      <w:kern w:val="0"/>
      <w:szCs w:val="20"/>
    </w:rPr>
  </w:style>
  <w:style w:type="paragraph" w:customStyle="1" w:styleId="46">
    <w:name w:val="样式 标准文件_段 + 小四"/>
    <w:basedOn w:val="2"/>
    <w:qFormat/>
    <w:uiPriority w:val="0"/>
    <w:rPr>
      <w:rFonts w:cs="宋体"/>
      <w:b w:val="0"/>
      <w:sz w:val="24"/>
    </w:rPr>
  </w:style>
  <w:style w:type="paragraph" w:customStyle="1" w:styleId="47">
    <w:name w:val="样式 黑体 四号"/>
    <w:basedOn w:val="19"/>
    <w:link w:val="61"/>
    <w:qFormat/>
    <w:uiPriority w:val="0"/>
    <w:rPr>
      <w:rFonts w:ascii="黑体" w:eastAsia="黑体"/>
      <w:sz w:val="28"/>
      <w:szCs w:val="28"/>
    </w:rPr>
  </w:style>
  <w:style w:type="paragraph" w:customStyle="1" w:styleId="48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49">
    <w:name w:val="样式 黑体 小四"/>
    <w:basedOn w:val="19"/>
    <w:link w:val="57"/>
    <w:qFormat/>
    <w:uiPriority w:val="0"/>
    <w:rPr>
      <w:rFonts w:ascii="黑体" w:eastAsia="黑体"/>
      <w:sz w:val="24"/>
    </w:rPr>
  </w:style>
  <w:style w:type="paragraph" w:customStyle="1" w:styleId="50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51">
    <w:name w:val="标准文件_标准代替"/>
    <w:basedOn w:val="1"/>
    <w:next w:val="1"/>
    <w:qFormat/>
    <w:uiPriority w:val="0"/>
    <w:pPr>
      <w:adjustRightInd w:val="0"/>
      <w:spacing w:line="310" w:lineRule="exact"/>
      <w:jc w:val="right"/>
    </w:pPr>
    <w:rPr>
      <w:rFonts w:ascii="宋体"/>
      <w:kern w:val="0"/>
      <w:szCs w:val="20"/>
    </w:rPr>
  </w:style>
  <w:style w:type="paragraph" w:customStyle="1" w:styleId="52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character" w:customStyle="1" w:styleId="53">
    <w:name w:val="页眉 Char"/>
    <w:link w:val="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">
    <w:name w:val="三号宋体"/>
    <w:qFormat/>
    <w:uiPriority w:val="1"/>
    <w:rPr>
      <w:rFonts w:ascii="Times New Roman" w:hAnsi="Times New Roman" w:eastAsia="宋体"/>
      <w:sz w:val="32"/>
    </w:rPr>
  </w:style>
  <w:style w:type="character" w:customStyle="1" w:styleId="55">
    <w:name w:val="标题4 Char"/>
    <w:link w:val="37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56">
    <w:name w:val="apple-converted-space"/>
    <w:basedOn w:val="23"/>
    <w:qFormat/>
    <w:uiPriority w:val="0"/>
  </w:style>
  <w:style w:type="character" w:customStyle="1" w:styleId="57">
    <w:name w:val="样式 黑体 小四 Char Char"/>
    <w:link w:val="49"/>
    <w:qFormat/>
    <w:uiPriority w:val="0"/>
    <w:rPr>
      <w:rFonts w:ascii="黑体" w:hAnsi="Arial" w:eastAsia="黑体" w:cs="Arial"/>
      <w:b/>
      <w:bCs/>
      <w:kern w:val="2"/>
      <w:sz w:val="24"/>
      <w:szCs w:val="32"/>
      <w:lang w:val="en-US" w:eastAsia="zh-CN" w:bidi="ar-SA"/>
    </w:rPr>
  </w:style>
  <w:style w:type="character" w:customStyle="1" w:styleId="58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59">
    <w:name w:val="font51"/>
    <w:qFormat/>
    <w:uiPriority w:val="0"/>
    <w:rPr>
      <w:rFonts w:hint="eastAsia" w:ascii="宋体" w:hAnsi="宋体" w:eastAsia="宋体" w:cs="宋体"/>
      <w:i/>
      <w:color w:val="000000"/>
      <w:sz w:val="22"/>
      <w:szCs w:val="22"/>
      <w:u w:val="none"/>
    </w:rPr>
  </w:style>
  <w:style w:type="character" w:customStyle="1" w:styleId="60">
    <w:name w:val="目录 2 Char"/>
    <w:link w:val="17"/>
    <w:qFormat/>
    <w:uiPriority w:val="0"/>
  </w:style>
  <w:style w:type="character" w:customStyle="1" w:styleId="61">
    <w:name w:val="样式 黑体 四号 Char Char"/>
    <w:link w:val="47"/>
    <w:qFormat/>
    <w:uiPriority w:val="0"/>
    <w:rPr>
      <w:rFonts w:ascii="黑体" w:hAnsi="Arial" w:eastAsia="黑体" w:cs="Arial"/>
      <w:b/>
      <w:bCs/>
      <w:kern w:val="2"/>
      <w:sz w:val="28"/>
      <w:szCs w:val="28"/>
      <w:lang w:val="en-US" w:eastAsia="zh-CN" w:bidi="ar-SA"/>
    </w:rPr>
  </w:style>
  <w:style w:type="character" w:styleId="62">
    <w:name w:val="Placeholder Text"/>
    <w:basedOn w:val="23"/>
    <w:unhideWhenUsed/>
    <w:qFormat/>
    <w:uiPriority w:val="99"/>
    <w:rPr>
      <w:color w:val="808080"/>
    </w:rPr>
  </w:style>
  <w:style w:type="character" w:customStyle="1" w:styleId="63">
    <w:name w:val="目录 1 Char"/>
    <w:link w:val="16"/>
    <w:qFormat/>
    <w:uiPriority w:val="39"/>
  </w:style>
  <w:style w:type="character" w:customStyle="1" w:styleId="64">
    <w:name w:val="font4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5">
    <w:name w:val="页脚 Char"/>
    <w:link w:val="14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6">
    <w:name w:val="批注文字 Char"/>
    <w:link w:val="8"/>
    <w:qFormat/>
    <w:uiPriority w:val="0"/>
    <w:rPr>
      <w:kern w:val="2"/>
      <w:sz w:val="21"/>
    </w:rPr>
  </w:style>
  <w:style w:type="character" w:customStyle="1" w:styleId="67">
    <w:name w:val="样式 黑体 四号 Char"/>
    <w:qFormat/>
    <w:uiPriority w:val="0"/>
    <w:rPr>
      <w:rFonts w:ascii="黑体" w:hAnsi="Arial" w:eastAsia="黑体" w:cs="Arial"/>
      <w:b/>
      <w:bCs/>
      <w:kern w:val="2"/>
      <w:sz w:val="28"/>
      <w:szCs w:val="28"/>
      <w:lang w:val="en-US" w:eastAsia="zh-CN" w:bidi="ar-SA"/>
    </w:rPr>
  </w:style>
  <w:style w:type="character" w:customStyle="1" w:styleId="68">
    <w:name w:val="纯文本 Char"/>
    <w:link w:val="10"/>
    <w:qFormat/>
    <w:locked/>
    <w:uiPriority w:val="0"/>
    <w:rPr>
      <w:rFonts w:ascii="宋体" w:hAnsi="Courier New"/>
      <w:kern w:val="2"/>
      <w:sz w:val="21"/>
    </w:rPr>
  </w:style>
  <w:style w:type="character" w:customStyle="1" w:styleId="69">
    <w:name w:val="标题 Char"/>
    <w:link w:val="19"/>
    <w:qFormat/>
    <w:uiPriority w:val="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character" w:customStyle="1" w:styleId="70">
    <w:name w:val="批注主题 Char"/>
    <w:basedOn w:val="66"/>
    <w:link w:val="20"/>
    <w:qFormat/>
    <w:uiPriority w:val="0"/>
    <w:rPr>
      <w:kern w:val="2"/>
      <w:sz w:val="21"/>
    </w:rPr>
  </w:style>
  <w:style w:type="character" w:customStyle="1" w:styleId="71">
    <w:name w:val="批注框文本 Char"/>
    <w:link w:val="13"/>
    <w:qFormat/>
    <w:uiPriority w:val="0"/>
    <w:rPr>
      <w:kern w:val="2"/>
      <w:sz w:val="18"/>
      <w:szCs w:val="18"/>
    </w:rPr>
  </w:style>
  <w:style w:type="character" w:customStyle="1" w:styleId="72">
    <w:name w:val="a9_text1"/>
    <w:qFormat/>
    <w:uiPriority w:val="0"/>
    <w:rPr>
      <w:rFonts w:hint="default" w:ascii="Arial" w:hAnsi="Arial" w:cs="Arial"/>
      <w:color w:val="525252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oleObject" Target="embeddings/oleObject43.bin"/><Relationship Id="rId97" Type="http://schemas.openxmlformats.org/officeDocument/2006/relationships/oleObject" Target="embeddings/oleObject42.bin"/><Relationship Id="rId96" Type="http://schemas.openxmlformats.org/officeDocument/2006/relationships/image" Target="media/image42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0.wmf"/><Relationship Id="rId91" Type="http://schemas.openxmlformats.org/officeDocument/2006/relationships/oleObject" Target="embeddings/oleObject39.bin"/><Relationship Id="rId90" Type="http://schemas.openxmlformats.org/officeDocument/2006/relationships/image" Target="media/image39.wmf"/><Relationship Id="rId9" Type="http://schemas.openxmlformats.org/officeDocument/2006/relationships/header" Target="header4.xml"/><Relationship Id="rId89" Type="http://schemas.openxmlformats.org/officeDocument/2006/relationships/oleObject" Target="embeddings/oleObject38.bin"/><Relationship Id="rId88" Type="http://schemas.openxmlformats.org/officeDocument/2006/relationships/image" Target="media/image38.wmf"/><Relationship Id="rId87" Type="http://schemas.openxmlformats.org/officeDocument/2006/relationships/oleObject" Target="embeddings/oleObject37.bin"/><Relationship Id="rId86" Type="http://schemas.openxmlformats.org/officeDocument/2006/relationships/image" Target="media/image37.wmf"/><Relationship Id="rId85" Type="http://schemas.openxmlformats.org/officeDocument/2006/relationships/oleObject" Target="embeddings/oleObject36.bin"/><Relationship Id="rId84" Type="http://schemas.openxmlformats.org/officeDocument/2006/relationships/image" Target="media/image36.wmf"/><Relationship Id="rId83" Type="http://schemas.openxmlformats.org/officeDocument/2006/relationships/oleObject" Target="embeddings/oleObject35.bin"/><Relationship Id="rId82" Type="http://schemas.openxmlformats.org/officeDocument/2006/relationships/image" Target="media/image35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4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2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1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0.wmf"/><Relationship Id="rId71" Type="http://schemas.openxmlformats.org/officeDocument/2006/relationships/oleObject" Target="embeddings/oleObject29.bin"/><Relationship Id="rId70" Type="http://schemas.openxmlformats.org/officeDocument/2006/relationships/image" Target="media/image29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28.wmf"/><Relationship Id="rId67" Type="http://schemas.openxmlformats.org/officeDocument/2006/relationships/oleObject" Target="embeddings/oleObject27.bin"/><Relationship Id="rId66" Type="http://schemas.openxmlformats.org/officeDocument/2006/relationships/image" Target="media/image27.wmf"/><Relationship Id="rId65" Type="http://schemas.openxmlformats.org/officeDocument/2006/relationships/oleObject" Target="embeddings/oleObject26.bin"/><Relationship Id="rId64" Type="http://schemas.openxmlformats.org/officeDocument/2006/relationships/image" Target="media/image26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5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4.wmf"/><Relationship Id="rId6" Type="http://schemas.openxmlformats.org/officeDocument/2006/relationships/header" Target="header3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3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2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1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0.wmf"/><Relationship Id="rId51" Type="http://schemas.openxmlformats.org/officeDocument/2006/relationships/oleObject" Target="embeddings/oleObject19.bin"/><Relationship Id="rId50" Type="http://schemas.openxmlformats.org/officeDocument/2006/relationships/image" Target="media/image19.wmf"/><Relationship Id="rId5" Type="http://schemas.openxmlformats.org/officeDocument/2006/relationships/footer" Target="footer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18.wmf"/><Relationship Id="rId47" Type="http://schemas.openxmlformats.org/officeDocument/2006/relationships/oleObject" Target="embeddings/oleObject17.bin"/><Relationship Id="rId46" Type="http://schemas.openxmlformats.org/officeDocument/2006/relationships/image" Target="media/image17.wmf"/><Relationship Id="rId45" Type="http://schemas.openxmlformats.org/officeDocument/2006/relationships/oleObject" Target="embeddings/oleObject16.bin"/><Relationship Id="rId44" Type="http://schemas.openxmlformats.org/officeDocument/2006/relationships/image" Target="media/image16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3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2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1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0.wmf"/><Relationship Id="rId31" Type="http://schemas.openxmlformats.org/officeDocument/2006/relationships/oleObject" Target="embeddings/oleObject9.bin"/><Relationship Id="rId30" Type="http://schemas.openxmlformats.org/officeDocument/2006/relationships/image" Target="media/image9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oleObject" Target="embeddings/oleObject7.bin"/><Relationship Id="rId27" Type="http://schemas.openxmlformats.org/officeDocument/2006/relationships/image" Target="media/image8.wmf"/><Relationship Id="rId26" Type="http://schemas.openxmlformats.org/officeDocument/2006/relationships/oleObject" Target="embeddings/oleObject6.bin"/><Relationship Id="rId25" Type="http://schemas.openxmlformats.org/officeDocument/2006/relationships/image" Target="media/image7.wmf"/><Relationship Id="rId24" Type="http://schemas.openxmlformats.org/officeDocument/2006/relationships/oleObject" Target="embeddings/oleObject5.bin"/><Relationship Id="rId23" Type="http://schemas.openxmlformats.org/officeDocument/2006/relationships/image" Target="media/image6.wmf"/><Relationship Id="rId22" Type="http://schemas.openxmlformats.org/officeDocument/2006/relationships/oleObject" Target="embeddings/oleObject4.bin"/><Relationship Id="rId21" Type="http://schemas.openxmlformats.org/officeDocument/2006/relationships/image" Target="media/image5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4.wmf"/><Relationship Id="rId18" Type="http://schemas.openxmlformats.org/officeDocument/2006/relationships/oleObject" Target="embeddings/oleObject2.bin"/><Relationship Id="rId17" Type="http://schemas.openxmlformats.org/officeDocument/2006/relationships/image" Target="media/image3.png"/><Relationship Id="rId16" Type="http://schemas.openxmlformats.org/officeDocument/2006/relationships/image" Target="media/image2.wmf"/><Relationship Id="rId159" Type="http://schemas.openxmlformats.org/officeDocument/2006/relationships/fontTable" Target="fontTable.xml"/><Relationship Id="rId158" Type="http://schemas.openxmlformats.org/officeDocument/2006/relationships/numbering" Target="numbering.xml"/><Relationship Id="rId157" Type="http://schemas.openxmlformats.org/officeDocument/2006/relationships/customXml" Target="../customXml/item1.xml"/><Relationship Id="rId156" Type="http://schemas.openxmlformats.org/officeDocument/2006/relationships/image" Target="media/image70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67.wmf"/><Relationship Id="rId15" Type="http://schemas.openxmlformats.org/officeDocument/2006/relationships/oleObject" Target="embeddings/oleObject1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66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65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2.wmf"/><Relationship Id="rId14" Type="http://schemas.openxmlformats.org/officeDocument/2006/relationships/image" Target="media/image1.e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57.wmf"/><Relationship Id="rId13" Type="http://schemas.openxmlformats.org/officeDocument/2006/relationships/theme" Target="theme/theme1.xml"/><Relationship Id="rId129" Type="http://schemas.openxmlformats.org/officeDocument/2006/relationships/oleObject" Target="embeddings/oleObject60.bin"/><Relationship Id="rId128" Type="http://schemas.openxmlformats.org/officeDocument/2006/relationships/image" Target="media/image56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55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4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3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2.wmf"/><Relationship Id="rId12" Type="http://schemas.openxmlformats.org/officeDocument/2006/relationships/footer" Target="footer5.xml"/><Relationship Id="rId119" Type="http://schemas.openxmlformats.org/officeDocument/2006/relationships/oleObject" Target="embeddings/oleObject55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49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48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47.wmf"/><Relationship Id="rId11" Type="http://schemas.openxmlformats.org/officeDocument/2006/relationships/header" Target="header5.xml"/><Relationship Id="rId109" Type="http://schemas.openxmlformats.org/officeDocument/2006/relationships/oleObject" Target="embeddings/oleObject50.bin"/><Relationship Id="rId108" Type="http://schemas.openxmlformats.org/officeDocument/2006/relationships/image" Target="media/image46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45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44.wmf"/><Relationship Id="rId103" Type="http://schemas.openxmlformats.org/officeDocument/2006/relationships/oleObject" Target="embeddings/oleObject47.bin"/><Relationship Id="rId102" Type="http://schemas.openxmlformats.org/officeDocument/2006/relationships/oleObject" Target="embeddings/oleObject46.bin"/><Relationship Id="rId101" Type="http://schemas.openxmlformats.org/officeDocument/2006/relationships/oleObject" Target="embeddings/oleObject45.bin"/><Relationship Id="rId100" Type="http://schemas.openxmlformats.org/officeDocument/2006/relationships/image" Target="media/image43.wmf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17</Pages>
  <Words>4722</Words>
  <Characters>5307</Characters>
  <Lines>58</Lines>
  <Paragraphs>16</Paragraphs>
  <TotalTime>6</TotalTime>
  <ScaleCrop>false</ScaleCrop>
  <LinksUpToDate>false</LinksUpToDate>
  <CharactersWithSpaces>5978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2022-09-22T04:12:00Z</dcterms:created>
  <dc:creator>Chad</dc:creator>
  <cp:lastModifiedBy>依然Mr.沈</cp:lastModifiedBy>
  <cp:lastPrinted>2022-02-11T06:50:00Z</cp:lastPrinted>
  <dcterms:modified xsi:type="dcterms:W3CDTF">2024-12-24T07:49:59Z</dcterms:modified>
  <dc:title>JJF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2052-12.1.0.19770</vt:lpwstr>
  </property>
  <property fmtid="{D5CDD505-2E9C-101B-9397-08002B2CF9AE}" pid="4" name="ICV">
    <vt:lpwstr>95D83B746EDF47A98E9BD75845B1494D_13</vt:lpwstr>
  </property>
</Properties>
</file>